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8CBDA" w14:textId="152152A0" w:rsidR="00DA5447" w:rsidRPr="00491A41" w:rsidRDefault="00481B52" w:rsidP="005C08C7">
      <w:pPr>
        <w:jc w:val="center"/>
        <w:outlineLvl w:val="0"/>
        <w:rPr>
          <w:b/>
          <w:sz w:val="22"/>
          <w:szCs w:val="22"/>
        </w:rPr>
      </w:pPr>
      <w:r>
        <w:rPr>
          <w:sz w:val="22"/>
          <w:szCs w:val="22"/>
        </w:rPr>
        <w:t>Zestawienie u</w:t>
      </w:r>
      <w:r w:rsidR="00DA5447" w:rsidRPr="00491A41">
        <w:rPr>
          <w:sz w:val="22"/>
          <w:szCs w:val="22"/>
        </w:rPr>
        <w:t xml:space="preserve">wag </w:t>
      </w:r>
      <w:r w:rsidR="003D6479" w:rsidRPr="00491A41">
        <w:rPr>
          <w:sz w:val="22"/>
          <w:szCs w:val="22"/>
        </w:rPr>
        <w:t xml:space="preserve">z </w:t>
      </w:r>
      <w:r w:rsidR="00BC30AD" w:rsidRPr="00491A41">
        <w:rPr>
          <w:sz w:val="22"/>
          <w:szCs w:val="22"/>
        </w:rPr>
        <w:t xml:space="preserve">uzgodnień projektu </w:t>
      </w:r>
      <w:r>
        <w:rPr>
          <w:sz w:val="22"/>
          <w:szCs w:val="22"/>
        </w:rPr>
        <w:t>rozporządzenia</w:t>
      </w:r>
    </w:p>
    <w:p w14:paraId="02B14457" w14:textId="77777777" w:rsidR="00DA5447" w:rsidRPr="00491A41" w:rsidRDefault="00DA5447" w:rsidP="005C08C7">
      <w:pPr>
        <w:rPr>
          <w:sz w:val="22"/>
          <w:szCs w:val="22"/>
        </w:rPr>
      </w:pPr>
    </w:p>
    <w:tbl>
      <w:tblPr>
        <w:tblW w:w="14393" w:type="dxa"/>
        <w:jc w:val="center"/>
        <w:tblLayout w:type="fixed"/>
        <w:tblCellMar>
          <w:top w:w="113" w:type="dxa"/>
          <w:left w:w="113" w:type="dxa"/>
          <w:right w:w="113" w:type="dxa"/>
        </w:tblCellMar>
        <w:tblLook w:val="0000" w:firstRow="0" w:lastRow="0" w:firstColumn="0" w:lastColumn="0" w:noHBand="0" w:noVBand="0"/>
      </w:tblPr>
      <w:tblGrid>
        <w:gridCol w:w="621"/>
        <w:gridCol w:w="851"/>
        <w:gridCol w:w="933"/>
        <w:gridCol w:w="7938"/>
        <w:gridCol w:w="4050"/>
      </w:tblGrid>
      <w:tr w:rsidR="00BE25AE" w:rsidRPr="00491A41" w14:paraId="081A7473" w14:textId="77777777" w:rsidTr="00112975">
        <w:trPr>
          <w:trHeight w:val="1675"/>
          <w:jc w:val="center"/>
        </w:trPr>
        <w:tc>
          <w:tcPr>
            <w:tcW w:w="621" w:type="dxa"/>
            <w:tcBorders>
              <w:top w:val="single" w:sz="4" w:space="0" w:color="000000" w:themeColor="text1"/>
              <w:left w:val="single" w:sz="4" w:space="0" w:color="000000" w:themeColor="text1"/>
              <w:bottom w:val="single" w:sz="4" w:space="0" w:color="auto"/>
            </w:tcBorders>
          </w:tcPr>
          <w:p w14:paraId="65975E6C" w14:textId="77777777" w:rsidR="00BE25AE" w:rsidRPr="00491A41" w:rsidRDefault="4941F361" w:rsidP="7993FA24">
            <w:pPr>
              <w:jc w:val="center"/>
              <w:rPr>
                <w:b/>
                <w:bCs/>
                <w:sz w:val="22"/>
                <w:szCs w:val="22"/>
                <w:lang w:eastAsia="pl-PL"/>
              </w:rPr>
            </w:pPr>
            <w:r w:rsidRPr="00491A41">
              <w:rPr>
                <w:b/>
                <w:bCs/>
                <w:sz w:val="22"/>
                <w:szCs w:val="22"/>
              </w:rPr>
              <w:t>Lp.</w:t>
            </w:r>
          </w:p>
        </w:tc>
        <w:tc>
          <w:tcPr>
            <w:tcW w:w="851" w:type="dxa"/>
            <w:tcBorders>
              <w:top w:val="single" w:sz="4" w:space="0" w:color="000000" w:themeColor="text1"/>
              <w:left w:val="single" w:sz="4" w:space="0" w:color="000000" w:themeColor="text1"/>
              <w:bottom w:val="single" w:sz="4" w:space="0" w:color="auto"/>
            </w:tcBorders>
            <w:vAlign w:val="center"/>
          </w:tcPr>
          <w:p w14:paraId="7B0E4480" w14:textId="77777777" w:rsidR="00BE25AE" w:rsidRPr="00491A41" w:rsidRDefault="00BC30AD" w:rsidP="7993FA24">
            <w:pPr>
              <w:snapToGrid w:val="0"/>
              <w:jc w:val="center"/>
              <w:rPr>
                <w:b/>
                <w:bCs/>
                <w:sz w:val="22"/>
                <w:szCs w:val="22"/>
              </w:rPr>
            </w:pPr>
            <w:r w:rsidRPr="00491A41">
              <w:rPr>
                <w:b/>
                <w:bCs/>
                <w:sz w:val="22"/>
                <w:szCs w:val="22"/>
              </w:rPr>
              <w:t>Przepis</w:t>
            </w:r>
            <w:r w:rsidR="4941F361" w:rsidRPr="00491A41">
              <w:rPr>
                <w:b/>
                <w:bCs/>
                <w:sz w:val="22"/>
                <w:szCs w:val="22"/>
              </w:rPr>
              <w:t xml:space="preserve"> </w:t>
            </w:r>
          </w:p>
        </w:tc>
        <w:tc>
          <w:tcPr>
            <w:tcW w:w="933" w:type="dxa"/>
            <w:tcBorders>
              <w:top w:val="single" w:sz="4" w:space="0" w:color="000000" w:themeColor="text1"/>
              <w:left w:val="single" w:sz="4" w:space="0" w:color="000000" w:themeColor="text1"/>
              <w:bottom w:val="single" w:sz="4" w:space="0" w:color="auto"/>
            </w:tcBorders>
            <w:vAlign w:val="center"/>
          </w:tcPr>
          <w:p w14:paraId="6D66EF96" w14:textId="77777777" w:rsidR="00BE25AE" w:rsidRPr="00491A41" w:rsidRDefault="4941F361" w:rsidP="7993FA24">
            <w:pPr>
              <w:snapToGrid w:val="0"/>
              <w:jc w:val="center"/>
              <w:rPr>
                <w:b/>
                <w:bCs/>
                <w:sz w:val="22"/>
                <w:szCs w:val="22"/>
              </w:rPr>
            </w:pPr>
            <w:r w:rsidRPr="00491A41">
              <w:rPr>
                <w:b/>
                <w:bCs/>
                <w:sz w:val="22"/>
                <w:szCs w:val="22"/>
              </w:rPr>
              <w:t xml:space="preserve">Podmiot </w:t>
            </w:r>
          </w:p>
        </w:tc>
        <w:tc>
          <w:tcPr>
            <w:tcW w:w="7938" w:type="dxa"/>
            <w:tcBorders>
              <w:top w:val="single" w:sz="4" w:space="0" w:color="000000" w:themeColor="text1"/>
              <w:left w:val="single" w:sz="4" w:space="0" w:color="000000" w:themeColor="text1"/>
              <w:bottom w:val="single" w:sz="4" w:space="0" w:color="auto"/>
            </w:tcBorders>
            <w:vAlign w:val="center"/>
          </w:tcPr>
          <w:p w14:paraId="21024EE5" w14:textId="77777777" w:rsidR="00BE25AE" w:rsidRPr="00491A41" w:rsidRDefault="00BE25AE" w:rsidP="00165AA1">
            <w:pPr>
              <w:jc w:val="center"/>
              <w:rPr>
                <w:b/>
                <w:sz w:val="22"/>
                <w:szCs w:val="22"/>
              </w:rPr>
            </w:pPr>
            <w:r w:rsidRPr="00491A41">
              <w:rPr>
                <w:b/>
                <w:sz w:val="22"/>
                <w:szCs w:val="22"/>
              </w:rPr>
              <w:t>Treść uwagi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0997557" w14:textId="77777777" w:rsidR="00BE25AE" w:rsidRPr="00491A41" w:rsidRDefault="00BE25AE" w:rsidP="00165AA1">
            <w:pPr>
              <w:snapToGrid w:val="0"/>
              <w:jc w:val="center"/>
              <w:rPr>
                <w:b/>
                <w:bCs/>
                <w:sz w:val="22"/>
                <w:szCs w:val="22"/>
              </w:rPr>
            </w:pPr>
          </w:p>
          <w:p w14:paraId="4A3775C1" w14:textId="77777777" w:rsidR="00BE25AE" w:rsidRPr="00491A41" w:rsidRDefault="00BE25AE" w:rsidP="00165AA1">
            <w:pPr>
              <w:snapToGrid w:val="0"/>
              <w:jc w:val="center"/>
              <w:rPr>
                <w:b/>
                <w:bCs/>
                <w:sz w:val="22"/>
                <w:szCs w:val="22"/>
              </w:rPr>
            </w:pPr>
          </w:p>
          <w:p w14:paraId="4CAD3D5C" w14:textId="77777777" w:rsidR="00BE25AE" w:rsidRPr="00491A41" w:rsidRDefault="00BE25AE" w:rsidP="00165AA1">
            <w:pPr>
              <w:snapToGrid w:val="0"/>
              <w:jc w:val="center"/>
              <w:rPr>
                <w:b/>
                <w:bCs/>
                <w:sz w:val="22"/>
                <w:szCs w:val="22"/>
              </w:rPr>
            </w:pPr>
          </w:p>
          <w:p w14:paraId="2D17E0DE" w14:textId="77777777" w:rsidR="00BE25AE" w:rsidRPr="00491A41" w:rsidRDefault="00BE25AE" w:rsidP="00165AA1">
            <w:pPr>
              <w:snapToGrid w:val="0"/>
              <w:jc w:val="center"/>
              <w:rPr>
                <w:b/>
                <w:bCs/>
                <w:sz w:val="22"/>
                <w:szCs w:val="22"/>
              </w:rPr>
            </w:pPr>
            <w:r w:rsidRPr="00491A41">
              <w:rPr>
                <w:b/>
                <w:bCs/>
                <w:sz w:val="22"/>
                <w:szCs w:val="22"/>
              </w:rPr>
              <w:t>Stanowisko</w:t>
            </w:r>
          </w:p>
        </w:tc>
      </w:tr>
      <w:tr w:rsidR="00BE25AE" w:rsidRPr="00491A41" w14:paraId="596BB8AB" w14:textId="77777777" w:rsidTr="3AC7D9D9">
        <w:trPr>
          <w:trHeight w:val="229"/>
          <w:jc w:val="center"/>
        </w:trPr>
        <w:tc>
          <w:tcPr>
            <w:tcW w:w="14393"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14:paraId="79F22469" w14:textId="77777777" w:rsidR="00BE25AE" w:rsidRPr="00491A41" w:rsidRDefault="00BE25AE" w:rsidP="00165AA1">
            <w:pPr>
              <w:snapToGrid w:val="0"/>
              <w:jc w:val="center"/>
              <w:rPr>
                <w:b/>
                <w:bCs/>
                <w:sz w:val="22"/>
                <w:szCs w:val="22"/>
              </w:rPr>
            </w:pPr>
          </w:p>
        </w:tc>
      </w:tr>
      <w:tr w:rsidR="00A9368A" w:rsidRPr="00491A41" w14:paraId="05A8C30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49860F3" w14:textId="77777777" w:rsidR="00A9368A" w:rsidRPr="00491A41" w:rsidRDefault="00A9368A"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4CC022D" w14:textId="77777777" w:rsidR="00A9368A" w:rsidRPr="00491A41" w:rsidRDefault="00981056" w:rsidP="1CD1E4FC">
            <w:pPr>
              <w:snapToGrid w:val="0"/>
              <w:jc w:val="center"/>
              <w:rPr>
                <w:sz w:val="22"/>
                <w:szCs w:val="22"/>
              </w:rPr>
            </w:pPr>
            <w:r w:rsidRPr="00491A41">
              <w:rPr>
                <w:sz w:val="22"/>
                <w:szCs w:val="22"/>
              </w:rPr>
              <w:t>Uwaga ogólna</w:t>
            </w:r>
          </w:p>
        </w:tc>
        <w:tc>
          <w:tcPr>
            <w:tcW w:w="933" w:type="dxa"/>
            <w:tcBorders>
              <w:top w:val="single" w:sz="4" w:space="0" w:color="000000" w:themeColor="text1"/>
              <w:left w:val="single" w:sz="4" w:space="0" w:color="000000" w:themeColor="text1"/>
              <w:bottom w:val="single" w:sz="4" w:space="0" w:color="auto"/>
            </w:tcBorders>
            <w:vAlign w:val="center"/>
          </w:tcPr>
          <w:p w14:paraId="117C3F28" w14:textId="77777777" w:rsidR="00A9368A" w:rsidRPr="00491A41" w:rsidRDefault="00981056" w:rsidP="1CD1E4FC">
            <w:pPr>
              <w:snapToGrid w:val="0"/>
              <w:jc w:val="center"/>
              <w:rPr>
                <w:sz w:val="22"/>
                <w:szCs w:val="22"/>
              </w:rPr>
            </w:pPr>
            <w:r w:rsidRPr="00491A41">
              <w:rPr>
                <w:sz w:val="22"/>
                <w:szCs w:val="22"/>
              </w:rPr>
              <w:t>RCL</w:t>
            </w:r>
          </w:p>
        </w:tc>
        <w:tc>
          <w:tcPr>
            <w:tcW w:w="7938" w:type="dxa"/>
            <w:tcBorders>
              <w:top w:val="single" w:sz="4" w:space="0" w:color="000000" w:themeColor="text1"/>
              <w:left w:val="single" w:sz="4" w:space="0" w:color="000000" w:themeColor="text1"/>
              <w:bottom w:val="single" w:sz="4" w:space="0" w:color="auto"/>
            </w:tcBorders>
            <w:vAlign w:val="center"/>
          </w:tcPr>
          <w:p w14:paraId="668FADF5" w14:textId="136E60FC" w:rsidR="00A9368A" w:rsidRPr="00491A41" w:rsidRDefault="00981056" w:rsidP="00981056">
            <w:pPr>
              <w:jc w:val="both"/>
              <w:rPr>
                <w:sz w:val="22"/>
                <w:szCs w:val="22"/>
              </w:rPr>
            </w:pPr>
            <w:r w:rsidRPr="00491A41">
              <w:rPr>
                <w:sz w:val="22"/>
                <w:szCs w:val="22"/>
              </w:rPr>
              <w:t xml:space="preserve">W praktyce legislacyjnej formułowany jest postulat, zgodnie z którym, mając na względzie wyeliminowanie ewentualnych wątpliwości interpretacyjnych, dobrą praktykę legislacyjną, orzecznictwo oraz poglądy doktryny, przy formułowaniu przepisów o charakterze obligatoryjnym należy unikać czasownika modalnego „powinien”. Wyraz „powinien” jest funktorem normotwórczym i w języku prawnym wyraża obowiązek. Zgodnie z zasadami prawa i logiki czasownik (modalny) „powinien” zawarty w aktach normatywnych oznacza „musi”. Dlatego przepisy projektowanego rozporządzenia wymagają pod tym kątem ponownej analizy i ewentualnego odpowiedniego przeredagowania. Jakkolwiek wyraz „powinny” znajduje się w przepisie, do którego odsyła upoważnienie ustawowe z art. 7 ust. 2 pkt 2 ustawy – Prawo budowlane, i łącznie z którym określa zakres spraw przekazanych do uregulowania w rozporządzeniu, to wydaje się możliwe takie zredagowanie przepisów rozporządzenia i załączników (zob. np. załącznik nr 1 cz. II ust. 1-6, cz. IV ust. 1 pkt 1-3 i 6-8, ust. 2 pkt 1-3 oraz 5 i 6, ust. 3 pkt 1-3 oraz 5 i 6, czy ust. 6 pkt 1 i ust. 7), aby nie posługiwać się wyrazem „powinien” („powinna”). Np. </w:t>
            </w:r>
            <w:r w:rsidR="005F3DE5" w:rsidRPr="00491A41">
              <w:rPr>
                <w:sz w:val="22"/>
                <w:szCs w:val="22"/>
              </w:rPr>
              <w:t>w § 4 ust</w:t>
            </w:r>
            <w:r w:rsidRPr="00491A41">
              <w:rPr>
                <w:sz w:val="22"/>
                <w:szCs w:val="22"/>
              </w:rPr>
              <w:t xml:space="preserve">. 1 projektu wyrazy „powinna być” proponuje się zastąpić wyrazem „jest” albo część zdania po </w:t>
            </w:r>
            <w:r w:rsidR="005F3DE5" w:rsidRPr="00491A41">
              <w:rPr>
                <w:sz w:val="22"/>
                <w:szCs w:val="22"/>
              </w:rPr>
              <w:t>wyrazach, „przy czym</w:t>
            </w:r>
            <w:r w:rsidRPr="00491A41">
              <w:rPr>
                <w:sz w:val="22"/>
                <w:szCs w:val="22"/>
              </w:rPr>
              <w:t>” przeredagować w następujący sposób: „kabel układa się na głębokości podstawowej nie mniejszej niż 0,7 m, a w połowie głębokości ułożenia kabla umieszcza się taśmę ostrzegawczą”; w § 5 ust. 2 wyrazy „jakim powinna odpowiadać” proponuje się zastąpić wyrazem „dla” (tak jest w przepisie upoważniającym z art. 7 ust. 2 pkt 2 ww. ustawy) i dostosować odpowiednio końcówki gramatyczne kolejnych wyrazów; w § 6 ust. 2 wyrazy „powinny odznaczać” zastąpić wyrazem „odznaczają” (analogicznie w § 6 ust. 3 i § 9), natomiast w § 7 wyrazy „nie powinna być” proponuje się zastąpić wyrazami „jest nie” albo „nie może być”. Analogicznych do powyższych zmian proponuje się dokonać w załącznikach (proponuje się także odpowiednie zastąpienie wyrazów „nie można” – np. w załączniku nr 1 w cz. I w ust. 4 w pkt 3, 4 i 6 oraz wyrazu „należy” np. w załączniku nr 1 w cz. II w ust. 7 w pkt 1 i 2 oraz w załączniku nr 2).</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1117456" w14:textId="77777777" w:rsidR="000A128B" w:rsidRPr="00491A41" w:rsidRDefault="00BB2FB6" w:rsidP="00BB2FB6">
            <w:pPr>
              <w:snapToGrid w:val="0"/>
              <w:jc w:val="both"/>
              <w:rPr>
                <w:bCs/>
                <w:sz w:val="22"/>
                <w:szCs w:val="22"/>
              </w:rPr>
            </w:pPr>
            <w:r w:rsidRPr="00491A41">
              <w:rPr>
                <w:bCs/>
                <w:sz w:val="22"/>
                <w:szCs w:val="22"/>
              </w:rPr>
              <w:t>Uwaga uwzględniona</w:t>
            </w:r>
          </w:p>
        </w:tc>
      </w:tr>
      <w:tr w:rsidR="007E0F2D" w:rsidRPr="00491A41" w14:paraId="37E0B97E" w14:textId="77777777" w:rsidTr="00BB2FB6">
        <w:trPr>
          <w:trHeight w:val="4021"/>
          <w:jc w:val="center"/>
        </w:trPr>
        <w:tc>
          <w:tcPr>
            <w:tcW w:w="621" w:type="dxa"/>
            <w:tcBorders>
              <w:top w:val="single" w:sz="4" w:space="0" w:color="000000" w:themeColor="text1"/>
              <w:left w:val="single" w:sz="4" w:space="0" w:color="000000" w:themeColor="text1"/>
              <w:bottom w:val="single" w:sz="4" w:space="0" w:color="auto"/>
            </w:tcBorders>
          </w:tcPr>
          <w:p w14:paraId="364F0829" w14:textId="77777777" w:rsidR="007E0F2D" w:rsidRPr="00491A41" w:rsidRDefault="007E0F2D"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0F8E936" w14:textId="77777777" w:rsidR="007E0F2D" w:rsidRPr="00491A41" w:rsidRDefault="007E0F2D" w:rsidP="1CD1E4FC">
            <w:pPr>
              <w:snapToGrid w:val="0"/>
              <w:jc w:val="center"/>
              <w:rPr>
                <w:sz w:val="22"/>
                <w:szCs w:val="22"/>
              </w:rPr>
            </w:pPr>
            <w:r w:rsidRPr="00491A41">
              <w:rPr>
                <w:sz w:val="22"/>
                <w:szCs w:val="22"/>
              </w:rPr>
              <w:t>Uwaga ogólna</w:t>
            </w:r>
          </w:p>
        </w:tc>
        <w:tc>
          <w:tcPr>
            <w:tcW w:w="933" w:type="dxa"/>
            <w:tcBorders>
              <w:top w:val="single" w:sz="4" w:space="0" w:color="000000" w:themeColor="text1"/>
              <w:left w:val="single" w:sz="4" w:space="0" w:color="000000" w:themeColor="text1"/>
              <w:bottom w:val="single" w:sz="4" w:space="0" w:color="auto"/>
            </w:tcBorders>
            <w:vAlign w:val="center"/>
          </w:tcPr>
          <w:p w14:paraId="381767B4" w14:textId="77777777" w:rsidR="007E0F2D" w:rsidRPr="00491A41" w:rsidRDefault="007E0F2D" w:rsidP="1CD1E4FC">
            <w:pPr>
              <w:snapToGrid w:val="0"/>
              <w:jc w:val="center"/>
              <w:rPr>
                <w:sz w:val="22"/>
                <w:szCs w:val="22"/>
              </w:rPr>
            </w:pPr>
            <w:r w:rsidRPr="00491A41">
              <w:rPr>
                <w:sz w:val="22"/>
                <w:szCs w:val="22"/>
              </w:rPr>
              <w:t>MI</w:t>
            </w:r>
          </w:p>
        </w:tc>
        <w:tc>
          <w:tcPr>
            <w:tcW w:w="7938" w:type="dxa"/>
            <w:tcBorders>
              <w:top w:val="single" w:sz="4" w:space="0" w:color="000000" w:themeColor="text1"/>
              <w:left w:val="single" w:sz="4" w:space="0" w:color="000000" w:themeColor="text1"/>
              <w:bottom w:val="single" w:sz="4" w:space="0" w:color="auto"/>
            </w:tcBorders>
            <w:vAlign w:val="center"/>
          </w:tcPr>
          <w:p w14:paraId="74F228DF" w14:textId="77777777" w:rsidR="007E0F2D" w:rsidRPr="00491A41" w:rsidRDefault="007E0F2D" w:rsidP="007E0F2D">
            <w:pPr>
              <w:jc w:val="both"/>
              <w:rPr>
                <w:sz w:val="22"/>
                <w:szCs w:val="22"/>
              </w:rPr>
            </w:pPr>
            <w:r w:rsidRPr="00491A41">
              <w:rPr>
                <w:sz w:val="22"/>
                <w:szCs w:val="22"/>
              </w:rPr>
              <w:t xml:space="preserve">Proponuję rozszerzenie zakresu projektu rozporządzenia oraz załączników o zapis, że wody powierzchniowe obejmują nie tylko śródlądowe wody powierzchniowe, ale również wody morza terytorialnego i morskie wody wewnętrzne. </w:t>
            </w:r>
          </w:p>
          <w:p w14:paraId="0916F3F8" w14:textId="77777777" w:rsidR="007E0F2D" w:rsidRPr="00491A41" w:rsidRDefault="007E0F2D" w:rsidP="007E0F2D">
            <w:pPr>
              <w:jc w:val="both"/>
              <w:rPr>
                <w:sz w:val="22"/>
                <w:szCs w:val="22"/>
              </w:rPr>
            </w:pPr>
            <w:r w:rsidRPr="00491A41">
              <w:rPr>
                <w:sz w:val="22"/>
                <w:szCs w:val="22"/>
              </w:rPr>
              <w:t>Projekt rozporządzenia obejmuje jedynie skrzyżowania ze śródlądowymi wodami powierzchniowymi, a nie obejmuje całości wód powierzchniowych takich jak: wód morza terytorialnego i morskich wód wewnętrznych. Proponuję rozszerzenie zakresu regulacji o całość wód powierzchniowych znajdujących na terenie kraju, tj. śródlądowe wody powierzchniowe, jak również wody morza terytorialnego i morskie wody wewnętrzne.</w:t>
            </w:r>
          </w:p>
          <w:p w14:paraId="509A156F" w14:textId="77777777" w:rsidR="007E0F2D" w:rsidRPr="00491A41" w:rsidRDefault="007E0F2D" w:rsidP="007E0F2D">
            <w:pPr>
              <w:jc w:val="both"/>
              <w:rPr>
                <w:sz w:val="22"/>
                <w:szCs w:val="22"/>
              </w:rPr>
            </w:pPr>
            <w:r w:rsidRPr="00491A41">
              <w:rPr>
                <w:sz w:val="22"/>
                <w:szCs w:val="22"/>
              </w:rPr>
              <w:t>W uzasadnieniu projektu rozporządzenia pojęcie „obszary wodne” powinno być wyjaśnione jako wody morza terytorialnego i morskie wody wewnętrzne oraz śródlądowe wody powierzchniowe.</w:t>
            </w:r>
          </w:p>
          <w:p w14:paraId="423520D6" w14:textId="77777777" w:rsidR="007E0F2D" w:rsidRPr="00491A41" w:rsidRDefault="007E0F2D" w:rsidP="0098105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B397F99" w14:textId="77777777" w:rsidR="007E0F2D" w:rsidRPr="00491A41" w:rsidRDefault="00BB2FB6" w:rsidP="00BB2FB6">
            <w:pPr>
              <w:snapToGrid w:val="0"/>
              <w:jc w:val="both"/>
              <w:rPr>
                <w:bCs/>
                <w:sz w:val="22"/>
                <w:szCs w:val="22"/>
              </w:rPr>
            </w:pPr>
            <w:r w:rsidRPr="00491A41">
              <w:rPr>
                <w:bCs/>
                <w:sz w:val="22"/>
                <w:szCs w:val="22"/>
              </w:rPr>
              <w:t>Uwaga uwzględniona</w:t>
            </w:r>
          </w:p>
        </w:tc>
      </w:tr>
      <w:tr w:rsidR="004C649A" w:rsidRPr="00491A41" w14:paraId="69804DD9" w14:textId="77777777" w:rsidTr="00755326">
        <w:trPr>
          <w:trHeight w:val="2861"/>
          <w:jc w:val="center"/>
        </w:trPr>
        <w:tc>
          <w:tcPr>
            <w:tcW w:w="621" w:type="dxa"/>
            <w:tcBorders>
              <w:top w:val="single" w:sz="4" w:space="0" w:color="000000" w:themeColor="text1"/>
              <w:left w:val="single" w:sz="4" w:space="0" w:color="000000" w:themeColor="text1"/>
              <w:bottom w:val="single" w:sz="4" w:space="0" w:color="auto"/>
            </w:tcBorders>
            <w:shd w:val="clear" w:color="auto" w:fill="auto"/>
          </w:tcPr>
          <w:p w14:paraId="4338F75B" w14:textId="77777777" w:rsidR="004C649A" w:rsidRPr="00491A41" w:rsidRDefault="004C649A"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shd w:val="clear" w:color="auto" w:fill="auto"/>
            <w:vAlign w:val="center"/>
          </w:tcPr>
          <w:p w14:paraId="7B763D10" w14:textId="77777777" w:rsidR="004C649A" w:rsidRPr="00491A41" w:rsidRDefault="004C649A" w:rsidP="1CD1E4FC">
            <w:pPr>
              <w:snapToGrid w:val="0"/>
              <w:jc w:val="center"/>
              <w:rPr>
                <w:sz w:val="22"/>
                <w:szCs w:val="22"/>
              </w:rPr>
            </w:pPr>
            <w:r w:rsidRPr="00491A41">
              <w:rPr>
                <w:sz w:val="22"/>
                <w:szCs w:val="22"/>
              </w:rPr>
              <w:t>Uwaga ogólna do pojęć</w:t>
            </w:r>
          </w:p>
        </w:tc>
        <w:tc>
          <w:tcPr>
            <w:tcW w:w="933" w:type="dxa"/>
            <w:tcBorders>
              <w:top w:val="single" w:sz="4" w:space="0" w:color="000000" w:themeColor="text1"/>
              <w:left w:val="single" w:sz="4" w:space="0" w:color="000000" w:themeColor="text1"/>
              <w:bottom w:val="single" w:sz="4" w:space="0" w:color="auto"/>
            </w:tcBorders>
            <w:shd w:val="clear" w:color="auto" w:fill="auto"/>
            <w:vAlign w:val="center"/>
          </w:tcPr>
          <w:p w14:paraId="02119B4F" w14:textId="77777777" w:rsidR="004C649A" w:rsidRPr="00491A41" w:rsidRDefault="004C649A" w:rsidP="1CD1E4FC">
            <w:pPr>
              <w:snapToGrid w:val="0"/>
              <w:jc w:val="center"/>
              <w:rPr>
                <w:sz w:val="22"/>
                <w:szCs w:val="22"/>
              </w:rPr>
            </w:pPr>
            <w:r w:rsidRPr="00491A41">
              <w:rPr>
                <w:sz w:val="22"/>
                <w:szCs w:val="22"/>
              </w:rPr>
              <w:t>MI</w:t>
            </w:r>
          </w:p>
        </w:tc>
        <w:tc>
          <w:tcPr>
            <w:tcW w:w="7938" w:type="dxa"/>
            <w:tcBorders>
              <w:top w:val="single" w:sz="4" w:space="0" w:color="000000" w:themeColor="text1"/>
              <w:left w:val="single" w:sz="4" w:space="0" w:color="000000" w:themeColor="text1"/>
              <w:bottom w:val="single" w:sz="4" w:space="0" w:color="auto"/>
            </w:tcBorders>
            <w:shd w:val="clear" w:color="auto" w:fill="auto"/>
            <w:vAlign w:val="center"/>
          </w:tcPr>
          <w:p w14:paraId="787FC8FD" w14:textId="77777777" w:rsidR="004C649A" w:rsidRPr="00491A41" w:rsidRDefault="004C649A" w:rsidP="004C649A">
            <w:pPr>
              <w:jc w:val="both"/>
              <w:rPr>
                <w:bCs/>
                <w:sz w:val="22"/>
                <w:szCs w:val="22"/>
              </w:rPr>
            </w:pPr>
            <w:r w:rsidRPr="00491A41">
              <w:rPr>
                <w:bCs/>
                <w:sz w:val="22"/>
                <w:szCs w:val="22"/>
              </w:rPr>
              <w:t xml:space="preserve">w celu wyeliminowania potencjalnych wątpliwości interpretacyjnych w praktyce stosowania projektowanego rozporządzenia proponuję wprowadzenie definicji pojęć używanych w projekcie rozporządzenia: </w:t>
            </w:r>
            <w:r w:rsidRPr="00491A41">
              <w:rPr>
                <w:b/>
                <w:bCs/>
                <w:sz w:val="22"/>
                <w:szCs w:val="22"/>
              </w:rPr>
              <w:t>rura osłonowa przepustowa, rura światłowodowa, płyta ochronna, kanał kablowy</w:t>
            </w:r>
            <w:r w:rsidRPr="00491A41">
              <w:rPr>
                <w:bCs/>
                <w:sz w:val="22"/>
                <w:szCs w:val="22"/>
              </w:rPr>
              <w:t xml:space="preserve">. </w:t>
            </w:r>
          </w:p>
          <w:p w14:paraId="594E80F4" w14:textId="77777777" w:rsidR="004C649A" w:rsidRPr="00491A41" w:rsidRDefault="004C649A" w:rsidP="007E0F2D">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81A5C1E" w14:textId="77777777" w:rsidR="00CB5027" w:rsidRDefault="00CB5027">
            <w:pPr>
              <w:snapToGrid w:val="0"/>
              <w:jc w:val="both"/>
              <w:rPr>
                <w:bCs/>
                <w:sz w:val="22"/>
                <w:szCs w:val="22"/>
              </w:rPr>
            </w:pPr>
          </w:p>
          <w:p w14:paraId="064CD90C" w14:textId="77777777" w:rsidR="00CB5027" w:rsidRDefault="00CB5027">
            <w:pPr>
              <w:snapToGrid w:val="0"/>
              <w:jc w:val="both"/>
              <w:rPr>
                <w:bCs/>
                <w:sz w:val="22"/>
                <w:szCs w:val="22"/>
              </w:rPr>
            </w:pPr>
          </w:p>
          <w:p w14:paraId="26803105" w14:textId="4A5A36B2" w:rsidR="00755326" w:rsidRDefault="00BB2FB6">
            <w:pPr>
              <w:snapToGrid w:val="0"/>
              <w:jc w:val="both"/>
              <w:rPr>
                <w:bCs/>
                <w:sz w:val="22"/>
                <w:szCs w:val="22"/>
              </w:rPr>
            </w:pPr>
            <w:r w:rsidRPr="00491A41">
              <w:rPr>
                <w:bCs/>
                <w:sz w:val="22"/>
                <w:szCs w:val="22"/>
              </w:rPr>
              <w:t xml:space="preserve">Uwaga </w:t>
            </w:r>
            <w:r w:rsidR="00863807">
              <w:rPr>
                <w:bCs/>
                <w:sz w:val="22"/>
                <w:szCs w:val="22"/>
              </w:rPr>
              <w:t>wyjaśniona</w:t>
            </w:r>
          </w:p>
          <w:p w14:paraId="01F12781" w14:textId="77777777" w:rsidR="00DD2666" w:rsidRPr="00491A41" w:rsidRDefault="00DD2666">
            <w:pPr>
              <w:snapToGrid w:val="0"/>
              <w:jc w:val="both"/>
              <w:rPr>
                <w:bCs/>
                <w:sz w:val="22"/>
                <w:szCs w:val="22"/>
              </w:rPr>
            </w:pPr>
          </w:p>
          <w:p w14:paraId="33B608E7" w14:textId="1EE562E9" w:rsidR="004C649A" w:rsidRPr="00491A41" w:rsidRDefault="007E3539">
            <w:pPr>
              <w:snapToGrid w:val="0"/>
              <w:jc w:val="both"/>
              <w:rPr>
                <w:bCs/>
                <w:sz w:val="22"/>
                <w:szCs w:val="22"/>
                <w:highlight w:val="yellow"/>
              </w:rPr>
            </w:pPr>
            <w:r w:rsidRPr="00491A41">
              <w:rPr>
                <w:bCs/>
                <w:sz w:val="22"/>
                <w:szCs w:val="22"/>
              </w:rPr>
              <w:t>P</w:t>
            </w:r>
            <w:r w:rsidR="00057D12" w:rsidRPr="00491A41">
              <w:rPr>
                <w:bCs/>
                <w:sz w:val="22"/>
                <w:szCs w:val="22"/>
              </w:rPr>
              <w:t>ojęcie rury światłowodowej i rury osłonowej występuje w ustawie o drogach publicznych i nie należy definiować tych pojęć w rozporządzeniu.</w:t>
            </w:r>
            <w:r w:rsidR="005D57A1" w:rsidRPr="00491A41">
              <w:rPr>
                <w:bCs/>
                <w:sz w:val="22"/>
                <w:szCs w:val="22"/>
              </w:rPr>
              <w:t xml:space="preserve"> Pozostałe pojęcia </w:t>
            </w:r>
            <w:r w:rsidR="00C33E23" w:rsidRPr="00491A41">
              <w:rPr>
                <w:bCs/>
                <w:sz w:val="22"/>
                <w:szCs w:val="22"/>
              </w:rPr>
              <w:t>zostały objaśnione w załączniku nr 1</w:t>
            </w:r>
            <w:r w:rsidR="005D57A1" w:rsidRPr="00491A41">
              <w:rPr>
                <w:bCs/>
                <w:sz w:val="22"/>
                <w:szCs w:val="22"/>
              </w:rPr>
              <w:t>.</w:t>
            </w:r>
          </w:p>
        </w:tc>
      </w:tr>
      <w:tr w:rsidR="00981056" w:rsidRPr="00491A41" w14:paraId="3D2D3DA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A37660E" w14:textId="77777777" w:rsidR="00981056" w:rsidRPr="00491A41" w:rsidRDefault="00981056"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A531A54" w14:textId="77777777" w:rsidR="00981056" w:rsidRPr="00491A41" w:rsidRDefault="00981056" w:rsidP="1CD1E4FC">
            <w:pPr>
              <w:snapToGrid w:val="0"/>
              <w:jc w:val="center"/>
              <w:rPr>
                <w:sz w:val="22"/>
                <w:szCs w:val="22"/>
              </w:rPr>
            </w:pPr>
            <w:r w:rsidRPr="00491A41">
              <w:rPr>
                <w:sz w:val="22"/>
                <w:szCs w:val="22"/>
              </w:rPr>
              <w:t>§ 1</w:t>
            </w:r>
          </w:p>
        </w:tc>
        <w:tc>
          <w:tcPr>
            <w:tcW w:w="933" w:type="dxa"/>
            <w:tcBorders>
              <w:top w:val="single" w:sz="4" w:space="0" w:color="000000" w:themeColor="text1"/>
              <w:left w:val="single" w:sz="4" w:space="0" w:color="000000" w:themeColor="text1"/>
              <w:bottom w:val="single" w:sz="4" w:space="0" w:color="auto"/>
            </w:tcBorders>
            <w:vAlign w:val="center"/>
          </w:tcPr>
          <w:p w14:paraId="2125CA15" w14:textId="77777777" w:rsidR="00981056" w:rsidRPr="00491A41" w:rsidRDefault="00981056" w:rsidP="1CD1E4FC">
            <w:pPr>
              <w:snapToGrid w:val="0"/>
              <w:jc w:val="center"/>
              <w:rPr>
                <w:sz w:val="22"/>
                <w:szCs w:val="22"/>
              </w:rPr>
            </w:pPr>
            <w:r w:rsidRPr="00491A41">
              <w:rPr>
                <w:sz w:val="22"/>
                <w:szCs w:val="22"/>
              </w:rPr>
              <w:t>RCL</w:t>
            </w:r>
          </w:p>
        </w:tc>
        <w:tc>
          <w:tcPr>
            <w:tcW w:w="7938" w:type="dxa"/>
            <w:tcBorders>
              <w:top w:val="single" w:sz="4" w:space="0" w:color="000000" w:themeColor="text1"/>
              <w:left w:val="single" w:sz="4" w:space="0" w:color="000000" w:themeColor="text1"/>
              <w:bottom w:val="single" w:sz="4" w:space="0" w:color="auto"/>
            </w:tcBorders>
            <w:vAlign w:val="center"/>
          </w:tcPr>
          <w:p w14:paraId="41C638A2" w14:textId="77777777" w:rsidR="00981056" w:rsidRPr="00491A41" w:rsidRDefault="00981056" w:rsidP="00981056">
            <w:pPr>
              <w:jc w:val="both"/>
              <w:rPr>
                <w:sz w:val="22"/>
                <w:szCs w:val="22"/>
              </w:rPr>
            </w:pPr>
            <w:r w:rsidRPr="00491A41">
              <w:rPr>
                <w:sz w:val="22"/>
                <w:szCs w:val="22"/>
              </w:rPr>
              <w:t>Stosownie do § 125 ust. 1 pkt 1 Zasad techniki prawodawczej proponuje się skreślić § 1 projektu, gdyż przedmiot regulacji został w sposób wyczerpujący określony w tytule projektowanego rozporządzenia, a przepis § 1 jest tylko powtórzeniem określenia tego przedmiotu.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1172212" w14:textId="77777777" w:rsidR="00981056" w:rsidRDefault="001801CA" w:rsidP="001801CA">
            <w:pPr>
              <w:snapToGrid w:val="0"/>
              <w:jc w:val="both"/>
              <w:rPr>
                <w:bCs/>
                <w:sz w:val="22"/>
                <w:szCs w:val="22"/>
              </w:rPr>
            </w:pPr>
            <w:r w:rsidRPr="00491A41">
              <w:rPr>
                <w:bCs/>
                <w:sz w:val="22"/>
                <w:szCs w:val="22"/>
              </w:rPr>
              <w:t xml:space="preserve">Uwaga </w:t>
            </w:r>
            <w:r w:rsidR="00AF470B" w:rsidRPr="00491A41">
              <w:rPr>
                <w:bCs/>
                <w:sz w:val="22"/>
                <w:szCs w:val="22"/>
              </w:rPr>
              <w:t>uwzglę</w:t>
            </w:r>
            <w:r w:rsidRPr="00491A41">
              <w:rPr>
                <w:bCs/>
                <w:sz w:val="22"/>
                <w:szCs w:val="22"/>
              </w:rPr>
              <w:t>dnio</w:t>
            </w:r>
            <w:r w:rsidR="00AF470B" w:rsidRPr="00491A41">
              <w:rPr>
                <w:bCs/>
                <w:sz w:val="22"/>
                <w:szCs w:val="22"/>
              </w:rPr>
              <w:t>na</w:t>
            </w:r>
          </w:p>
          <w:p w14:paraId="6C7770BF" w14:textId="6AA7593B" w:rsidR="00DD2666" w:rsidRPr="00491A41" w:rsidRDefault="00DD2666" w:rsidP="001801CA">
            <w:pPr>
              <w:snapToGrid w:val="0"/>
              <w:jc w:val="both"/>
              <w:rPr>
                <w:bCs/>
                <w:sz w:val="22"/>
                <w:szCs w:val="22"/>
              </w:rPr>
            </w:pPr>
          </w:p>
        </w:tc>
      </w:tr>
      <w:tr w:rsidR="00981056" w:rsidRPr="00491A41" w14:paraId="3AFE191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BA42471" w14:textId="77777777" w:rsidR="00981056" w:rsidRPr="00491A41" w:rsidRDefault="00981056"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316A991" w14:textId="77777777" w:rsidR="00981056" w:rsidRPr="00491A41" w:rsidRDefault="00981056" w:rsidP="1CD1E4FC">
            <w:pPr>
              <w:snapToGrid w:val="0"/>
              <w:jc w:val="center"/>
              <w:rPr>
                <w:sz w:val="22"/>
                <w:szCs w:val="22"/>
              </w:rPr>
            </w:pPr>
            <w:r w:rsidRPr="00491A41">
              <w:rPr>
                <w:sz w:val="22"/>
                <w:szCs w:val="22"/>
              </w:rPr>
              <w:t>§ 3</w:t>
            </w:r>
          </w:p>
        </w:tc>
        <w:tc>
          <w:tcPr>
            <w:tcW w:w="933" w:type="dxa"/>
            <w:tcBorders>
              <w:top w:val="single" w:sz="4" w:space="0" w:color="000000" w:themeColor="text1"/>
              <w:left w:val="single" w:sz="4" w:space="0" w:color="000000" w:themeColor="text1"/>
              <w:bottom w:val="single" w:sz="4" w:space="0" w:color="auto"/>
            </w:tcBorders>
            <w:vAlign w:val="center"/>
          </w:tcPr>
          <w:p w14:paraId="0773E118" w14:textId="77777777" w:rsidR="00981056" w:rsidRPr="00491A41" w:rsidRDefault="00981056" w:rsidP="1CD1E4FC">
            <w:pPr>
              <w:snapToGrid w:val="0"/>
              <w:jc w:val="center"/>
              <w:rPr>
                <w:sz w:val="22"/>
                <w:szCs w:val="22"/>
              </w:rPr>
            </w:pPr>
            <w:r w:rsidRPr="00491A41">
              <w:rPr>
                <w:sz w:val="22"/>
                <w:szCs w:val="22"/>
              </w:rPr>
              <w:t>RCL</w:t>
            </w:r>
          </w:p>
        </w:tc>
        <w:tc>
          <w:tcPr>
            <w:tcW w:w="7938" w:type="dxa"/>
            <w:tcBorders>
              <w:top w:val="single" w:sz="4" w:space="0" w:color="000000" w:themeColor="text1"/>
              <w:left w:val="single" w:sz="4" w:space="0" w:color="000000" w:themeColor="text1"/>
              <w:bottom w:val="single" w:sz="4" w:space="0" w:color="auto"/>
            </w:tcBorders>
            <w:vAlign w:val="center"/>
          </w:tcPr>
          <w:p w14:paraId="038EF8CA" w14:textId="77777777" w:rsidR="00981056" w:rsidRPr="00491A41" w:rsidRDefault="00981056" w:rsidP="00981056">
            <w:pPr>
              <w:jc w:val="both"/>
              <w:rPr>
                <w:sz w:val="22"/>
                <w:szCs w:val="22"/>
              </w:rPr>
            </w:pPr>
            <w:r w:rsidRPr="00491A41">
              <w:rPr>
                <w:sz w:val="22"/>
                <w:szCs w:val="22"/>
              </w:rPr>
              <w:t xml:space="preserve">Wśród określeń definiowanych w przepisach § 3 projektu są takie, które nie występują w innych miejscach rozporządzenia (jak „zabezpieczenie stykowe”, „zbliżenie telekomunikacyjnego obiektu budowlanego”) albo występują tylko w definicjach (jak „mikrokanalizacja światłowodowa”). Dlatego szerszego wyjaśnienia wymaga potrzeba zdefiniowania tych określeń w projekcie.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D3BCBCA" w14:textId="3CCF9D45" w:rsidR="007E3539" w:rsidRDefault="00BB2FB6">
            <w:pPr>
              <w:snapToGrid w:val="0"/>
              <w:jc w:val="both"/>
              <w:rPr>
                <w:bCs/>
                <w:sz w:val="22"/>
                <w:szCs w:val="22"/>
              </w:rPr>
            </w:pPr>
            <w:r w:rsidRPr="00491A41">
              <w:rPr>
                <w:bCs/>
                <w:sz w:val="22"/>
                <w:szCs w:val="22"/>
              </w:rPr>
              <w:t>Uwaga uwzględniona</w:t>
            </w:r>
          </w:p>
          <w:p w14:paraId="03D14633" w14:textId="77777777" w:rsidR="00DD2666" w:rsidRPr="00491A41" w:rsidRDefault="00DD2666">
            <w:pPr>
              <w:snapToGrid w:val="0"/>
              <w:jc w:val="both"/>
              <w:rPr>
                <w:bCs/>
                <w:sz w:val="22"/>
                <w:szCs w:val="22"/>
              </w:rPr>
            </w:pPr>
          </w:p>
          <w:p w14:paraId="7FB7BCEF" w14:textId="77777777" w:rsidR="007E3539" w:rsidRPr="00491A41" w:rsidRDefault="007E3539">
            <w:pPr>
              <w:snapToGrid w:val="0"/>
              <w:jc w:val="both"/>
              <w:rPr>
                <w:bCs/>
                <w:sz w:val="22"/>
                <w:szCs w:val="22"/>
              </w:rPr>
            </w:pPr>
            <w:r w:rsidRPr="00491A41">
              <w:rPr>
                <w:bCs/>
                <w:sz w:val="22"/>
                <w:szCs w:val="22"/>
              </w:rPr>
              <w:t>Pojęcie „zabezpieczenie stykowe” zostało usunięte.</w:t>
            </w:r>
          </w:p>
          <w:p w14:paraId="1EEB1129" w14:textId="67BFB3FD" w:rsidR="00981056" w:rsidRPr="00491A41" w:rsidRDefault="007E3539">
            <w:pPr>
              <w:snapToGrid w:val="0"/>
              <w:jc w:val="both"/>
              <w:rPr>
                <w:bCs/>
                <w:sz w:val="22"/>
                <w:szCs w:val="22"/>
              </w:rPr>
            </w:pPr>
            <w:r w:rsidRPr="00491A41">
              <w:rPr>
                <w:bCs/>
                <w:sz w:val="22"/>
                <w:szCs w:val="22"/>
              </w:rPr>
              <w:t>Pojęcie „mikrokanalizacja światłowodowa” ma kluczowe znaczenie, gdyż jest częścią składową pojęcia kanalizacji kablowej.</w:t>
            </w:r>
            <w:r w:rsidR="000D2D27" w:rsidRPr="00491A41">
              <w:rPr>
                <w:bCs/>
                <w:sz w:val="22"/>
                <w:szCs w:val="22"/>
              </w:rPr>
              <w:t xml:space="preserve"> </w:t>
            </w:r>
            <w:r w:rsidR="00613CE6" w:rsidRPr="00491A41">
              <w:rPr>
                <w:bCs/>
                <w:sz w:val="22"/>
                <w:szCs w:val="22"/>
              </w:rPr>
              <w:t xml:space="preserve">Kwestii zbliżeń dotyczy pkt. II w zał. nr 1. </w:t>
            </w:r>
            <w:r w:rsidR="00613CE6" w:rsidRPr="00491A41">
              <w:rPr>
                <w:bCs/>
                <w:sz w:val="22"/>
                <w:szCs w:val="22"/>
              </w:rPr>
              <w:lastRenderedPageBreak/>
              <w:t xml:space="preserve">Do załącznika nr 1 została przeniesiona definicja „zbliżeń”. </w:t>
            </w:r>
            <w:r w:rsidR="00F35990" w:rsidRPr="00491A41">
              <w:rPr>
                <w:bCs/>
                <w:sz w:val="22"/>
                <w:szCs w:val="22"/>
              </w:rPr>
              <w:t xml:space="preserve"> </w:t>
            </w:r>
          </w:p>
        </w:tc>
      </w:tr>
      <w:tr w:rsidR="007E0F2D" w:rsidRPr="00491A41" w14:paraId="7DF0018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114DD2C" w14:textId="46D812D6" w:rsidR="007E0F2D" w:rsidRPr="00491A41" w:rsidRDefault="007E0F2D"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875B0B5" w14:textId="77777777" w:rsidR="007E0F2D" w:rsidRPr="00491A41" w:rsidRDefault="007E0F2D" w:rsidP="1CD1E4FC">
            <w:pPr>
              <w:snapToGrid w:val="0"/>
              <w:jc w:val="center"/>
              <w:rPr>
                <w:sz w:val="22"/>
                <w:szCs w:val="22"/>
              </w:rPr>
            </w:pPr>
            <w:r w:rsidRPr="00491A41">
              <w:rPr>
                <w:sz w:val="22"/>
                <w:szCs w:val="22"/>
              </w:rPr>
              <w:t>§ 3 pkt 2</w:t>
            </w:r>
          </w:p>
        </w:tc>
        <w:tc>
          <w:tcPr>
            <w:tcW w:w="933" w:type="dxa"/>
            <w:tcBorders>
              <w:top w:val="single" w:sz="4" w:space="0" w:color="000000" w:themeColor="text1"/>
              <w:left w:val="single" w:sz="4" w:space="0" w:color="000000" w:themeColor="text1"/>
              <w:bottom w:val="single" w:sz="4" w:space="0" w:color="auto"/>
            </w:tcBorders>
            <w:vAlign w:val="center"/>
          </w:tcPr>
          <w:p w14:paraId="3608F3C9" w14:textId="77777777" w:rsidR="007E0F2D" w:rsidRPr="00491A41" w:rsidRDefault="007E0F2D" w:rsidP="1CD1E4FC">
            <w:pPr>
              <w:snapToGrid w:val="0"/>
              <w:jc w:val="center"/>
              <w:rPr>
                <w:sz w:val="22"/>
                <w:szCs w:val="22"/>
              </w:rPr>
            </w:pPr>
            <w:r w:rsidRPr="00491A41">
              <w:rPr>
                <w:sz w:val="22"/>
                <w:szCs w:val="22"/>
              </w:rPr>
              <w:t>MI</w:t>
            </w:r>
          </w:p>
        </w:tc>
        <w:tc>
          <w:tcPr>
            <w:tcW w:w="7938" w:type="dxa"/>
            <w:tcBorders>
              <w:top w:val="single" w:sz="4" w:space="0" w:color="000000" w:themeColor="text1"/>
              <w:left w:val="single" w:sz="4" w:space="0" w:color="000000" w:themeColor="text1"/>
              <w:bottom w:val="single" w:sz="4" w:space="0" w:color="auto"/>
            </w:tcBorders>
            <w:vAlign w:val="center"/>
          </w:tcPr>
          <w:p w14:paraId="107D2C4E" w14:textId="77777777" w:rsidR="007E0F2D" w:rsidRPr="00491A41" w:rsidRDefault="007E0F2D" w:rsidP="007E0F2D">
            <w:pPr>
              <w:jc w:val="both"/>
              <w:rPr>
                <w:sz w:val="22"/>
                <w:szCs w:val="22"/>
              </w:rPr>
            </w:pPr>
            <w:r w:rsidRPr="00491A41">
              <w:rPr>
                <w:sz w:val="22"/>
                <w:szCs w:val="22"/>
              </w:rPr>
              <w:t>w § 3 projektu rozporządzenia proponuję usunięcie pkt 2</w:t>
            </w:r>
          </w:p>
          <w:p w14:paraId="2D196E59" w14:textId="77777777" w:rsidR="007E0F2D" w:rsidRPr="00491A41" w:rsidRDefault="007E0F2D" w:rsidP="007E0F2D">
            <w:pPr>
              <w:jc w:val="both"/>
              <w:rPr>
                <w:i/>
                <w:sz w:val="22"/>
                <w:szCs w:val="22"/>
              </w:rPr>
            </w:pPr>
            <w:r w:rsidRPr="00491A41">
              <w:rPr>
                <w:i/>
                <w:sz w:val="22"/>
                <w:szCs w:val="22"/>
              </w:rPr>
              <w:t>2) drogowy obiekt inżynierski – drogowy obiekt inży</w:t>
            </w:r>
            <w:r w:rsidR="005053A0" w:rsidRPr="00491A41">
              <w:rPr>
                <w:i/>
                <w:sz w:val="22"/>
                <w:szCs w:val="22"/>
              </w:rPr>
              <w:t xml:space="preserve">nierski w rozumieniu art. 4 pkt 12 </w:t>
            </w:r>
            <w:r w:rsidRPr="00491A41">
              <w:rPr>
                <w:i/>
                <w:sz w:val="22"/>
                <w:szCs w:val="22"/>
              </w:rPr>
              <w:t>ustawy z dnia 21 marca 1985 r. o drogach publicznych (Dz. U. z 2021 r. poz. 1376),;</w:t>
            </w:r>
          </w:p>
          <w:p w14:paraId="43AB2725" w14:textId="77777777" w:rsidR="007E0F2D" w:rsidRPr="00491A41" w:rsidRDefault="007E0F2D" w:rsidP="007E0F2D">
            <w:pPr>
              <w:jc w:val="both"/>
              <w:rPr>
                <w:sz w:val="22"/>
                <w:szCs w:val="22"/>
              </w:rPr>
            </w:pPr>
            <w:r w:rsidRPr="00491A41">
              <w:rPr>
                <w:sz w:val="22"/>
                <w:szCs w:val="22"/>
              </w:rPr>
              <w:t>Poprawka w związku z ogłoszeniem tekstu jednolitego ustawy o drogach publicznych. Drogowy obiekt inżynierski jest drogowym obiektem inżynierskim, natomiast możliwość jego współwykorzystania, zbliżenia lub skrzyżowania z telekomunikacyjnymi obiektami budowlanymi wynika z przepisów rozporządzenia, a nie definicji.</w:t>
            </w:r>
          </w:p>
          <w:p w14:paraId="180995FA" w14:textId="77777777" w:rsidR="007E0F2D" w:rsidRPr="00491A41" w:rsidRDefault="007E0F2D" w:rsidP="007E0F2D">
            <w:pPr>
              <w:jc w:val="both"/>
              <w:rPr>
                <w:i/>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2CB6200" w14:textId="0E7EB5BF" w:rsidR="00AF470B" w:rsidRPr="00491A41" w:rsidRDefault="00F77C13" w:rsidP="000A128B">
            <w:pPr>
              <w:snapToGrid w:val="0"/>
              <w:jc w:val="both"/>
              <w:rPr>
                <w:bCs/>
                <w:sz w:val="22"/>
                <w:szCs w:val="22"/>
              </w:rPr>
            </w:pPr>
            <w:r w:rsidRPr="00491A41">
              <w:rPr>
                <w:bCs/>
                <w:sz w:val="22"/>
                <w:szCs w:val="22"/>
              </w:rPr>
              <w:t xml:space="preserve">Uwaga </w:t>
            </w:r>
            <w:r w:rsidR="007D1C6B">
              <w:rPr>
                <w:bCs/>
                <w:sz w:val="22"/>
                <w:szCs w:val="22"/>
              </w:rPr>
              <w:t>wyjaśniona</w:t>
            </w:r>
          </w:p>
          <w:p w14:paraId="0D151C6C" w14:textId="5C86D985" w:rsidR="00441356" w:rsidRPr="00491A41" w:rsidRDefault="00441356" w:rsidP="00AD2CCB">
            <w:pPr>
              <w:snapToGrid w:val="0"/>
              <w:jc w:val="both"/>
              <w:rPr>
                <w:bCs/>
                <w:sz w:val="22"/>
                <w:szCs w:val="22"/>
                <w:highlight w:val="yellow"/>
              </w:rPr>
            </w:pPr>
          </w:p>
        </w:tc>
      </w:tr>
      <w:tr w:rsidR="007E0F2D" w:rsidRPr="00491A41" w14:paraId="49A5AC9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B77448C" w14:textId="77777777" w:rsidR="007E0F2D" w:rsidRPr="00491A41" w:rsidRDefault="007E0F2D"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98DAB2B" w14:textId="77777777" w:rsidR="007E0F2D" w:rsidRPr="00491A41" w:rsidRDefault="007E0F2D" w:rsidP="1CD1E4FC">
            <w:pPr>
              <w:snapToGrid w:val="0"/>
              <w:jc w:val="center"/>
              <w:rPr>
                <w:sz w:val="22"/>
                <w:szCs w:val="22"/>
              </w:rPr>
            </w:pPr>
            <w:r w:rsidRPr="00491A41">
              <w:rPr>
                <w:sz w:val="22"/>
                <w:szCs w:val="22"/>
              </w:rPr>
              <w:t>§ 3 pkt 4</w:t>
            </w:r>
          </w:p>
        </w:tc>
        <w:tc>
          <w:tcPr>
            <w:tcW w:w="933" w:type="dxa"/>
            <w:tcBorders>
              <w:top w:val="single" w:sz="4" w:space="0" w:color="000000" w:themeColor="text1"/>
              <w:left w:val="single" w:sz="4" w:space="0" w:color="000000" w:themeColor="text1"/>
              <w:bottom w:val="single" w:sz="4" w:space="0" w:color="auto"/>
            </w:tcBorders>
            <w:vAlign w:val="center"/>
          </w:tcPr>
          <w:p w14:paraId="3AEC5149" w14:textId="77777777" w:rsidR="007E0F2D" w:rsidRPr="00491A41" w:rsidRDefault="007E0F2D" w:rsidP="1CD1E4FC">
            <w:pPr>
              <w:snapToGrid w:val="0"/>
              <w:jc w:val="center"/>
              <w:rPr>
                <w:sz w:val="22"/>
                <w:szCs w:val="22"/>
              </w:rPr>
            </w:pPr>
            <w:r w:rsidRPr="00491A41">
              <w:rPr>
                <w:sz w:val="22"/>
                <w:szCs w:val="22"/>
              </w:rPr>
              <w:t>MI</w:t>
            </w:r>
          </w:p>
        </w:tc>
        <w:tc>
          <w:tcPr>
            <w:tcW w:w="7938" w:type="dxa"/>
            <w:tcBorders>
              <w:top w:val="single" w:sz="4" w:space="0" w:color="000000" w:themeColor="text1"/>
              <w:left w:val="single" w:sz="4" w:space="0" w:color="000000" w:themeColor="text1"/>
              <w:bottom w:val="single" w:sz="4" w:space="0" w:color="auto"/>
            </w:tcBorders>
            <w:vAlign w:val="center"/>
          </w:tcPr>
          <w:p w14:paraId="16F72DFF" w14:textId="77777777" w:rsidR="007E0F2D" w:rsidRPr="00491A41" w:rsidRDefault="007E0F2D" w:rsidP="007E0F2D">
            <w:pPr>
              <w:jc w:val="both"/>
              <w:rPr>
                <w:sz w:val="22"/>
                <w:szCs w:val="22"/>
              </w:rPr>
            </w:pPr>
            <w:r w:rsidRPr="00491A41">
              <w:rPr>
                <w:sz w:val="22"/>
                <w:szCs w:val="22"/>
              </w:rPr>
              <w:t>w § 3 pkt 4 projektu rozporządzenia proponuję zmianę definicji na:</w:t>
            </w:r>
          </w:p>
          <w:p w14:paraId="23AC4643" w14:textId="77777777" w:rsidR="007E0F2D" w:rsidRPr="00491A41" w:rsidRDefault="007E0F2D" w:rsidP="007E0F2D">
            <w:pPr>
              <w:jc w:val="both"/>
              <w:rPr>
                <w:i/>
                <w:sz w:val="22"/>
                <w:szCs w:val="22"/>
              </w:rPr>
            </w:pPr>
            <w:r w:rsidRPr="00491A41">
              <w:rPr>
                <w:i/>
                <w:sz w:val="22"/>
                <w:szCs w:val="22"/>
              </w:rPr>
              <w:t>„4) kanalizacja kablowa - ciąg rur osłonowych, w tym mikrokanalizacja światłowodowa i związane z nimi pomieszczenia podziemne lub zasobniki kablowe dla kabli telekomunikacyjnych lub mikrokabli światłowodowych i ich złączy oraz pasywnych urządzeń telekomunikacyjnych;”.</w:t>
            </w:r>
          </w:p>
          <w:p w14:paraId="23103BC7" w14:textId="77777777" w:rsidR="007E0F2D" w:rsidRPr="00491A41" w:rsidRDefault="007E0F2D" w:rsidP="007E0F2D">
            <w:pPr>
              <w:jc w:val="both"/>
              <w:rPr>
                <w:sz w:val="22"/>
                <w:szCs w:val="22"/>
              </w:rPr>
            </w:pPr>
            <w:r w:rsidRPr="00491A41">
              <w:rPr>
                <w:sz w:val="22"/>
                <w:szCs w:val="22"/>
              </w:rPr>
              <w:t xml:space="preserve">Przyjęty obecnie w rozporządzeniu podział kanalizacji kablowej na ciąg rur osłonowych i mikrokanalizację światłowodową jest niezrozumiały, ponieważ mikrokanalizacja światłowodowa jest również ciągiem rur osłonowych (dla mikrokabli światłowodowych). Pomieszczenie podziemne z reguły rozumiane jest jako studnia kablowa, dlatego proponuję uwzględnić </w:t>
            </w:r>
            <w:r w:rsidRPr="00491A41">
              <w:rPr>
                <w:sz w:val="22"/>
                <w:szCs w:val="22"/>
              </w:rPr>
              <w:br/>
              <w:t>w definicji również zasobnik kablowy. W kanalizacji kablowej nie powinny być instalowane aktywne urządzenia telekomunikacyjne, dlatego proponuję doprecyzować w definicji, że chodzi o pasywne urządzenia telekomunikacyjne.</w:t>
            </w:r>
          </w:p>
          <w:p w14:paraId="40D2070D" w14:textId="77777777" w:rsidR="007E0F2D" w:rsidRPr="00491A41" w:rsidRDefault="007E0F2D" w:rsidP="0098105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4655BAF" w14:textId="159BFE63" w:rsidR="00AF470B" w:rsidRDefault="00AF470B" w:rsidP="000A128B">
            <w:pPr>
              <w:snapToGrid w:val="0"/>
              <w:jc w:val="both"/>
              <w:rPr>
                <w:bCs/>
                <w:sz w:val="22"/>
                <w:szCs w:val="22"/>
              </w:rPr>
            </w:pPr>
            <w:r w:rsidRPr="00491A41">
              <w:rPr>
                <w:bCs/>
                <w:sz w:val="22"/>
                <w:szCs w:val="22"/>
              </w:rPr>
              <w:t>Uwaga uwzględniona</w:t>
            </w:r>
          </w:p>
          <w:p w14:paraId="1C7AE59F" w14:textId="77777777" w:rsidR="00DD2666" w:rsidRPr="00491A41" w:rsidRDefault="00DD2666" w:rsidP="000A128B">
            <w:pPr>
              <w:snapToGrid w:val="0"/>
              <w:jc w:val="both"/>
              <w:rPr>
                <w:bCs/>
                <w:sz w:val="22"/>
                <w:szCs w:val="22"/>
              </w:rPr>
            </w:pPr>
          </w:p>
          <w:p w14:paraId="409C5CEC" w14:textId="5FC382DB" w:rsidR="00E4311F" w:rsidRPr="00491A41" w:rsidRDefault="00E4311F" w:rsidP="004C73F1">
            <w:pPr>
              <w:snapToGrid w:val="0"/>
              <w:rPr>
                <w:bCs/>
                <w:sz w:val="22"/>
                <w:szCs w:val="22"/>
              </w:rPr>
            </w:pPr>
            <w:r w:rsidRPr="00491A41">
              <w:rPr>
                <w:bCs/>
                <w:sz w:val="22"/>
                <w:szCs w:val="22"/>
              </w:rPr>
              <w:t xml:space="preserve">Uwzględniono zapis </w:t>
            </w:r>
            <w:r w:rsidRPr="00491A41">
              <w:rPr>
                <w:bCs/>
                <w:i/>
                <w:sz w:val="22"/>
                <w:szCs w:val="22"/>
              </w:rPr>
              <w:t>pasywne</w:t>
            </w:r>
            <w:r w:rsidR="00AF470B" w:rsidRPr="00491A41">
              <w:rPr>
                <w:bCs/>
                <w:i/>
                <w:sz w:val="22"/>
                <w:szCs w:val="22"/>
              </w:rPr>
              <w:t xml:space="preserve"> urzą</w:t>
            </w:r>
            <w:r w:rsidR="00B168BE" w:rsidRPr="00491A41">
              <w:rPr>
                <w:bCs/>
                <w:i/>
                <w:sz w:val="22"/>
                <w:szCs w:val="22"/>
              </w:rPr>
              <w:t xml:space="preserve">dzenia telekomunikacyjne, </w:t>
            </w:r>
            <w:r w:rsidR="00B168BE" w:rsidRPr="00491A41">
              <w:rPr>
                <w:bCs/>
                <w:sz w:val="22"/>
                <w:szCs w:val="22"/>
              </w:rPr>
              <w:t>na</w:t>
            </w:r>
            <w:r w:rsidR="00AF470B" w:rsidRPr="00491A41">
              <w:rPr>
                <w:bCs/>
                <w:sz w:val="22"/>
                <w:szCs w:val="22"/>
              </w:rPr>
              <w:t xml:space="preserve">tomiast </w:t>
            </w:r>
            <w:r w:rsidR="00B168BE" w:rsidRPr="00491A41">
              <w:rPr>
                <w:bCs/>
                <w:sz w:val="22"/>
                <w:szCs w:val="22"/>
              </w:rPr>
              <w:t>należy wskazać, że</w:t>
            </w:r>
            <w:r w:rsidR="00B168BE" w:rsidRPr="00491A41">
              <w:rPr>
                <w:bCs/>
                <w:i/>
                <w:sz w:val="22"/>
                <w:szCs w:val="22"/>
              </w:rPr>
              <w:t xml:space="preserve"> </w:t>
            </w:r>
            <w:r w:rsidR="004C73F1">
              <w:rPr>
                <w:bCs/>
                <w:sz w:val="22"/>
                <w:szCs w:val="22"/>
              </w:rPr>
              <w:t>z</w:t>
            </w:r>
            <w:r w:rsidR="00F12713" w:rsidRPr="00491A41">
              <w:rPr>
                <w:bCs/>
                <w:sz w:val="22"/>
                <w:szCs w:val="22"/>
              </w:rPr>
              <w:t xml:space="preserve">mieniono też </w:t>
            </w:r>
            <w:r w:rsidR="004C73F1">
              <w:rPr>
                <w:bCs/>
                <w:sz w:val="22"/>
                <w:szCs w:val="22"/>
              </w:rPr>
              <w:t>brzmienie</w:t>
            </w:r>
            <w:r w:rsidR="00F12713" w:rsidRPr="00491A41">
              <w:rPr>
                <w:bCs/>
                <w:sz w:val="22"/>
                <w:szCs w:val="22"/>
              </w:rPr>
              <w:t xml:space="preserve"> definicji „zasobnika kablowego” wskazując, że jest to pomieszczenie podziemne.</w:t>
            </w:r>
          </w:p>
        </w:tc>
      </w:tr>
      <w:tr w:rsidR="007E0F2D" w:rsidRPr="00491A41" w14:paraId="0C7ADB9C"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3DA008D" w14:textId="77777777" w:rsidR="007E0F2D" w:rsidRPr="00491A41" w:rsidRDefault="007E0F2D"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D54252D" w14:textId="77777777" w:rsidR="007E0F2D" w:rsidRPr="00491A41" w:rsidRDefault="007E0F2D" w:rsidP="1CD1E4FC">
            <w:pPr>
              <w:snapToGrid w:val="0"/>
              <w:jc w:val="center"/>
              <w:rPr>
                <w:sz w:val="22"/>
                <w:szCs w:val="22"/>
              </w:rPr>
            </w:pPr>
            <w:r w:rsidRPr="00491A41">
              <w:rPr>
                <w:sz w:val="22"/>
                <w:szCs w:val="22"/>
              </w:rPr>
              <w:t>§ 3 pkt 7</w:t>
            </w:r>
          </w:p>
        </w:tc>
        <w:tc>
          <w:tcPr>
            <w:tcW w:w="933" w:type="dxa"/>
            <w:tcBorders>
              <w:top w:val="single" w:sz="4" w:space="0" w:color="000000" w:themeColor="text1"/>
              <w:left w:val="single" w:sz="4" w:space="0" w:color="000000" w:themeColor="text1"/>
              <w:bottom w:val="single" w:sz="4" w:space="0" w:color="auto"/>
            </w:tcBorders>
            <w:vAlign w:val="center"/>
          </w:tcPr>
          <w:p w14:paraId="7022DDE0" w14:textId="77777777" w:rsidR="007E0F2D" w:rsidRPr="00491A41" w:rsidRDefault="007E0F2D" w:rsidP="1CD1E4FC">
            <w:pPr>
              <w:snapToGrid w:val="0"/>
              <w:jc w:val="center"/>
              <w:rPr>
                <w:sz w:val="22"/>
                <w:szCs w:val="22"/>
              </w:rPr>
            </w:pPr>
            <w:r w:rsidRPr="00491A41">
              <w:rPr>
                <w:sz w:val="22"/>
                <w:szCs w:val="22"/>
              </w:rPr>
              <w:t>MI</w:t>
            </w:r>
          </w:p>
        </w:tc>
        <w:tc>
          <w:tcPr>
            <w:tcW w:w="7938" w:type="dxa"/>
            <w:tcBorders>
              <w:top w:val="single" w:sz="4" w:space="0" w:color="000000" w:themeColor="text1"/>
              <w:left w:val="single" w:sz="4" w:space="0" w:color="000000" w:themeColor="text1"/>
              <w:bottom w:val="single" w:sz="4" w:space="0" w:color="auto"/>
            </w:tcBorders>
            <w:vAlign w:val="center"/>
          </w:tcPr>
          <w:p w14:paraId="04A6D2DD" w14:textId="77777777" w:rsidR="007E0F2D" w:rsidRPr="00491A41" w:rsidRDefault="007E0F2D" w:rsidP="007E0F2D">
            <w:pPr>
              <w:jc w:val="both"/>
              <w:rPr>
                <w:bCs/>
                <w:sz w:val="22"/>
                <w:szCs w:val="22"/>
              </w:rPr>
            </w:pPr>
            <w:r w:rsidRPr="00491A41">
              <w:rPr>
                <w:sz w:val="22"/>
                <w:szCs w:val="22"/>
              </w:rPr>
              <w:t xml:space="preserve">w § 3 pkt 7 projektu rozporządzenia należy w sposób jednoznaczny określić sposób mierzenia odległości (od najbardziej zewnętrznej krawędzi obiektu? od środka obiektu?). Nie każdy obiekt posiada skrajnię. Skrajnia jest parametrem charakteryzującym budowle kolejowe, budowle drogowe i tabor. Definicja odległości podstawowej wskazuje, </w:t>
            </w:r>
            <w:r w:rsidRPr="00491A41">
              <w:rPr>
                <w:bCs/>
                <w:sz w:val="22"/>
                <w:szCs w:val="22"/>
              </w:rPr>
              <w:t>iż jest to najmniejsza odległość telekomunikacyjnego obiektu budowlanego od skrajni innego obiektu budowlanego, przy czym w przypadku usytuowania obiektów z linią kolejową odnosimy się m.in. do osi toru, a nie skrajni linii kolejowej. Reasumując definicję należałoby przeredagować, przez nadanie w § 3 pkt 7 brzmienia:</w:t>
            </w:r>
          </w:p>
          <w:p w14:paraId="0EF41EC3" w14:textId="77777777" w:rsidR="007E0F2D" w:rsidRPr="00491A41" w:rsidRDefault="007E0F2D" w:rsidP="007E0F2D">
            <w:pPr>
              <w:jc w:val="both"/>
              <w:rPr>
                <w:sz w:val="22"/>
                <w:szCs w:val="22"/>
              </w:rPr>
            </w:pPr>
            <w:r w:rsidRPr="00491A41">
              <w:rPr>
                <w:i/>
                <w:sz w:val="22"/>
                <w:szCs w:val="22"/>
              </w:rPr>
              <w:t xml:space="preserve">„7) odległość podstawowa – najmniejszą odległość telekomunikacyjnego obiektu budowlanego od: skrajni, </w:t>
            </w:r>
            <w:r w:rsidRPr="00491A41">
              <w:rPr>
                <w:i/>
                <w:sz w:val="22"/>
                <w:szCs w:val="22"/>
                <w:u w:val="single"/>
              </w:rPr>
              <w:t>wskazanego miejsca, wskazanego w załączniku nr 1 punktu odniesienia</w:t>
            </w:r>
            <w:r w:rsidRPr="00491A41">
              <w:rPr>
                <w:i/>
                <w:sz w:val="22"/>
                <w:szCs w:val="22"/>
              </w:rPr>
              <w:t xml:space="preserve"> innego obiektu budowlanego, przy której nie wymaga się stosowania zabezpieczenia specjalnego bądź szczególnego, na odcinkach zbliżeń i skrzyżowań;”.</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64CD457" w14:textId="77777777" w:rsidR="007E0F2D" w:rsidRPr="00491A41" w:rsidRDefault="00BB2FB6" w:rsidP="00BB2FB6">
            <w:pPr>
              <w:snapToGrid w:val="0"/>
              <w:jc w:val="both"/>
              <w:rPr>
                <w:bCs/>
                <w:sz w:val="22"/>
                <w:szCs w:val="22"/>
              </w:rPr>
            </w:pPr>
            <w:r w:rsidRPr="00491A41">
              <w:rPr>
                <w:bCs/>
                <w:sz w:val="22"/>
                <w:szCs w:val="22"/>
              </w:rPr>
              <w:t>Uwaga uwzględniona</w:t>
            </w:r>
          </w:p>
        </w:tc>
      </w:tr>
      <w:tr w:rsidR="007E0F2D" w:rsidRPr="00491A41" w14:paraId="74C49DE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047A685" w14:textId="77777777" w:rsidR="007E0F2D" w:rsidRPr="00491A41" w:rsidRDefault="007E0F2D"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7CC14A8" w14:textId="77777777" w:rsidR="007E0F2D" w:rsidRPr="00491A41" w:rsidRDefault="007E0F2D" w:rsidP="1CD1E4FC">
            <w:pPr>
              <w:snapToGrid w:val="0"/>
              <w:jc w:val="center"/>
              <w:rPr>
                <w:sz w:val="22"/>
                <w:szCs w:val="22"/>
              </w:rPr>
            </w:pPr>
            <w:r w:rsidRPr="00491A41">
              <w:rPr>
                <w:sz w:val="22"/>
                <w:szCs w:val="22"/>
              </w:rPr>
              <w:t>§ 3 pkt 8</w:t>
            </w:r>
          </w:p>
        </w:tc>
        <w:tc>
          <w:tcPr>
            <w:tcW w:w="933" w:type="dxa"/>
            <w:tcBorders>
              <w:top w:val="single" w:sz="4" w:space="0" w:color="000000" w:themeColor="text1"/>
              <w:left w:val="single" w:sz="4" w:space="0" w:color="000000" w:themeColor="text1"/>
              <w:bottom w:val="single" w:sz="4" w:space="0" w:color="auto"/>
            </w:tcBorders>
            <w:vAlign w:val="center"/>
          </w:tcPr>
          <w:p w14:paraId="2B4150CB" w14:textId="77777777" w:rsidR="007E0F2D" w:rsidRPr="00491A41" w:rsidRDefault="007E0F2D" w:rsidP="1CD1E4FC">
            <w:pPr>
              <w:snapToGrid w:val="0"/>
              <w:jc w:val="center"/>
              <w:rPr>
                <w:sz w:val="22"/>
                <w:szCs w:val="22"/>
              </w:rPr>
            </w:pPr>
            <w:r w:rsidRPr="00491A41">
              <w:rPr>
                <w:sz w:val="22"/>
                <w:szCs w:val="22"/>
              </w:rPr>
              <w:t>MI</w:t>
            </w:r>
          </w:p>
        </w:tc>
        <w:tc>
          <w:tcPr>
            <w:tcW w:w="7938" w:type="dxa"/>
            <w:tcBorders>
              <w:top w:val="single" w:sz="4" w:space="0" w:color="000000" w:themeColor="text1"/>
              <w:left w:val="single" w:sz="4" w:space="0" w:color="000000" w:themeColor="text1"/>
              <w:bottom w:val="single" w:sz="4" w:space="0" w:color="auto"/>
            </w:tcBorders>
            <w:vAlign w:val="center"/>
          </w:tcPr>
          <w:p w14:paraId="03C53479" w14:textId="77777777" w:rsidR="007E0F2D" w:rsidRPr="00491A41" w:rsidRDefault="007E0F2D" w:rsidP="007E0F2D">
            <w:pPr>
              <w:jc w:val="both"/>
              <w:rPr>
                <w:sz w:val="22"/>
                <w:szCs w:val="22"/>
              </w:rPr>
            </w:pPr>
            <w:r w:rsidRPr="00491A41">
              <w:rPr>
                <w:sz w:val="22"/>
                <w:szCs w:val="22"/>
              </w:rPr>
              <w:t>w § 3 pkt 8 projektu rozporządzenia proponuję zmianę pojęcia „podbudowa słupowa” na „konstrukcja wsporcza” dla telekomunikacyjnych linii kablowych (również</w:t>
            </w:r>
            <w:r w:rsidR="005053A0" w:rsidRPr="00491A41">
              <w:rPr>
                <w:sz w:val="22"/>
                <w:szCs w:val="22"/>
              </w:rPr>
              <w:t xml:space="preserve"> </w:t>
            </w:r>
            <w:r w:rsidRPr="00491A41">
              <w:rPr>
                <w:sz w:val="22"/>
                <w:szCs w:val="22"/>
              </w:rPr>
              <w:t>konsekwentnie w dalszych przepisach), ponieważ nie zawsze konstrukcja wsporcza jest słupem.</w:t>
            </w:r>
          </w:p>
          <w:p w14:paraId="3F7AA654" w14:textId="77777777" w:rsidR="007E0F2D" w:rsidRPr="00491A41" w:rsidRDefault="007E0F2D" w:rsidP="0098105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8FD69DD" w14:textId="5921493B" w:rsidR="008B0DBD" w:rsidRDefault="008B0DBD" w:rsidP="000D425C">
            <w:pPr>
              <w:snapToGrid w:val="0"/>
              <w:jc w:val="both"/>
              <w:rPr>
                <w:bCs/>
                <w:sz w:val="22"/>
                <w:szCs w:val="22"/>
              </w:rPr>
            </w:pPr>
            <w:r w:rsidRPr="00491A41">
              <w:rPr>
                <w:bCs/>
                <w:sz w:val="22"/>
                <w:szCs w:val="22"/>
              </w:rPr>
              <w:t xml:space="preserve">Uwaga </w:t>
            </w:r>
            <w:r w:rsidR="007D1C6B">
              <w:rPr>
                <w:bCs/>
                <w:sz w:val="22"/>
                <w:szCs w:val="22"/>
              </w:rPr>
              <w:t>wyjaśniona</w:t>
            </w:r>
          </w:p>
          <w:p w14:paraId="6D034CD3" w14:textId="77777777" w:rsidR="00DD2666" w:rsidRPr="00491A41" w:rsidRDefault="00DD2666" w:rsidP="000D425C">
            <w:pPr>
              <w:snapToGrid w:val="0"/>
              <w:jc w:val="both"/>
              <w:rPr>
                <w:bCs/>
                <w:sz w:val="22"/>
                <w:szCs w:val="22"/>
              </w:rPr>
            </w:pPr>
          </w:p>
          <w:p w14:paraId="70FF5371" w14:textId="77777777" w:rsidR="00F77C13" w:rsidRPr="00491A41" w:rsidRDefault="00F12713" w:rsidP="00353DAF">
            <w:pPr>
              <w:snapToGrid w:val="0"/>
              <w:jc w:val="both"/>
              <w:rPr>
                <w:bCs/>
                <w:sz w:val="22"/>
                <w:szCs w:val="22"/>
              </w:rPr>
            </w:pPr>
            <w:r w:rsidRPr="00491A41">
              <w:rPr>
                <w:bCs/>
                <w:sz w:val="22"/>
                <w:szCs w:val="22"/>
              </w:rPr>
              <w:t>Przepis przeredagowany</w:t>
            </w:r>
            <w:r w:rsidR="00F77C13" w:rsidRPr="00491A41">
              <w:rPr>
                <w:bCs/>
                <w:sz w:val="22"/>
                <w:szCs w:val="22"/>
              </w:rPr>
              <w:t xml:space="preserve"> </w:t>
            </w:r>
            <w:r w:rsidR="00353DAF" w:rsidRPr="00491A41">
              <w:rPr>
                <w:bCs/>
                <w:sz w:val="22"/>
                <w:szCs w:val="22"/>
              </w:rPr>
              <w:t xml:space="preserve">na: </w:t>
            </w:r>
          </w:p>
          <w:p w14:paraId="5F4BA9F9" w14:textId="233A0849" w:rsidR="00353DAF" w:rsidRPr="00491A41" w:rsidRDefault="00353DAF" w:rsidP="00353DAF">
            <w:pPr>
              <w:snapToGrid w:val="0"/>
              <w:jc w:val="both"/>
              <w:rPr>
                <w:bCs/>
                <w:sz w:val="22"/>
                <w:szCs w:val="22"/>
              </w:rPr>
            </w:pPr>
            <w:r w:rsidRPr="00491A41">
              <w:rPr>
                <w:sz w:val="22"/>
                <w:szCs w:val="22"/>
              </w:rPr>
              <w:t xml:space="preserve">podbudowa słupowa dla telekomunikacyjnych linii kablowych – </w:t>
            </w:r>
            <w:r w:rsidRPr="00491A41">
              <w:rPr>
                <w:i/>
                <w:sz w:val="22"/>
                <w:szCs w:val="22"/>
              </w:rPr>
              <w:t>konstrukcja wsporcza w postaci słupa oraz osprzętu do zawieszania telekomunikacyjnych linii kablowych nadziemnych.</w:t>
            </w:r>
          </w:p>
        </w:tc>
      </w:tr>
      <w:tr w:rsidR="00981056" w:rsidRPr="00491A41" w14:paraId="115DFC29"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5EAAF10" w14:textId="5D21A19B" w:rsidR="00981056" w:rsidRPr="00491A41" w:rsidRDefault="00981056"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74AD44E" w14:textId="77777777" w:rsidR="00981056" w:rsidRPr="00491A41" w:rsidRDefault="00981056" w:rsidP="1CD1E4FC">
            <w:pPr>
              <w:snapToGrid w:val="0"/>
              <w:jc w:val="center"/>
              <w:rPr>
                <w:sz w:val="22"/>
                <w:szCs w:val="22"/>
              </w:rPr>
            </w:pPr>
            <w:r w:rsidRPr="00491A41">
              <w:rPr>
                <w:sz w:val="22"/>
                <w:szCs w:val="22"/>
              </w:rPr>
              <w:t>§ 3</w:t>
            </w:r>
            <w:r w:rsidR="007E0F2D" w:rsidRPr="00491A41">
              <w:rPr>
                <w:sz w:val="22"/>
                <w:szCs w:val="22"/>
              </w:rPr>
              <w:t xml:space="preserve"> pkt 18-20</w:t>
            </w:r>
          </w:p>
        </w:tc>
        <w:tc>
          <w:tcPr>
            <w:tcW w:w="933" w:type="dxa"/>
            <w:tcBorders>
              <w:top w:val="single" w:sz="4" w:space="0" w:color="000000" w:themeColor="text1"/>
              <w:left w:val="single" w:sz="4" w:space="0" w:color="000000" w:themeColor="text1"/>
              <w:bottom w:val="single" w:sz="4" w:space="0" w:color="auto"/>
            </w:tcBorders>
            <w:vAlign w:val="center"/>
          </w:tcPr>
          <w:p w14:paraId="5CBF5F7E" w14:textId="77777777" w:rsidR="00981056" w:rsidRPr="00491A41" w:rsidRDefault="00981056" w:rsidP="1CD1E4FC">
            <w:pPr>
              <w:snapToGrid w:val="0"/>
              <w:jc w:val="center"/>
              <w:rPr>
                <w:sz w:val="22"/>
                <w:szCs w:val="22"/>
              </w:rPr>
            </w:pPr>
            <w:r w:rsidRPr="00491A41">
              <w:rPr>
                <w:sz w:val="22"/>
                <w:szCs w:val="22"/>
              </w:rPr>
              <w:t>RCL</w:t>
            </w:r>
          </w:p>
        </w:tc>
        <w:tc>
          <w:tcPr>
            <w:tcW w:w="7938" w:type="dxa"/>
            <w:tcBorders>
              <w:top w:val="single" w:sz="4" w:space="0" w:color="000000" w:themeColor="text1"/>
              <w:left w:val="single" w:sz="4" w:space="0" w:color="000000" w:themeColor="text1"/>
              <w:bottom w:val="single" w:sz="4" w:space="0" w:color="auto"/>
            </w:tcBorders>
            <w:vAlign w:val="center"/>
          </w:tcPr>
          <w:p w14:paraId="34BF5697" w14:textId="77777777" w:rsidR="00981056" w:rsidRPr="00491A41" w:rsidRDefault="00981056" w:rsidP="00981056">
            <w:pPr>
              <w:jc w:val="both"/>
              <w:rPr>
                <w:sz w:val="22"/>
                <w:szCs w:val="22"/>
              </w:rPr>
            </w:pPr>
            <w:r w:rsidRPr="00491A41">
              <w:rPr>
                <w:sz w:val="22"/>
                <w:szCs w:val="22"/>
              </w:rPr>
              <w:t>Zamieszczone w przepisach § 3 pkt 18-20 projektu definicje posługują się m.in. takimi określeniami jak „odległość podstawowa” i „głębokość podstawowa” (zob. też § 4 ust. 1 projektu), z których pierwsze jest zdefiniowane w § 3 pkt 7 projektu, a drugie nie zostało zdefiniowane w § 3, co wymaga odpowiedniego uzupełnienia.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B69B553" w14:textId="77777777" w:rsidR="00981056" w:rsidRPr="00491A41" w:rsidRDefault="00BB2FB6" w:rsidP="00BB2FB6">
            <w:pPr>
              <w:snapToGrid w:val="0"/>
              <w:jc w:val="both"/>
              <w:rPr>
                <w:bCs/>
                <w:sz w:val="22"/>
                <w:szCs w:val="22"/>
              </w:rPr>
            </w:pPr>
            <w:r w:rsidRPr="00491A41">
              <w:rPr>
                <w:bCs/>
                <w:sz w:val="22"/>
                <w:szCs w:val="22"/>
              </w:rPr>
              <w:t>Uwaga uwzględniona</w:t>
            </w:r>
          </w:p>
        </w:tc>
      </w:tr>
      <w:tr w:rsidR="007E0F2D" w:rsidRPr="00491A41" w14:paraId="6AEBB78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D9F5D8D" w14:textId="77777777" w:rsidR="007E0F2D" w:rsidRPr="00491A41" w:rsidRDefault="007E0F2D"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5D4CDF4" w14:textId="77777777" w:rsidR="007E0F2D" w:rsidRPr="00491A41" w:rsidRDefault="007E0F2D" w:rsidP="1CD1E4FC">
            <w:pPr>
              <w:snapToGrid w:val="0"/>
              <w:jc w:val="center"/>
              <w:rPr>
                <w:sz w:val="22"/>
                <w:szCs w:val="22"/>
              </w:rPr>
            </w:pPr>
            <w:r w:rsidRPr="00491A41">
              <w:rPr>
                <w:sz w:val="22"/>
                <w:szCs w:val="22"/>
              </w:rPr>
              <w:t>§ 5 ust. 1</w:t>
            </w:r>
          </w:p>
        </w:tc>
        <w:tc>
          <w:tcPr>
            <w:tcW w:w="933" w:type="dxa"/>
            <w:tcBorders>
              <w:top w:val="single" w:sz="4" w:space="0" w:color="000000" w:themeColor="text1"/>
              <w:left w:val="single" w:sz="4" w:space="0" w:color="000000" w:themeColor="text1"/>
              <w:bottom w:val="single" w:sz="4" w:space="0" w:color="auto"/>
            </w:tcBorders>
            <w:vAlign w:val="center"/>
          </w:tcPr>
          <w:p w14:paraId="0FEDDA6B" w14:textId="77777777" w:rsidR="007E0F2D" w:rsidRPr="00491A41" w:rsidRDefault="007E0F2D" w:rsidP="1CD1E4FC">
            <w:pPr>
              <w:snapToGrid w:val="0"/>
              <w:jc w:val="center"/>
              <w:rPr>
                <w:sz w:val="22"/>
                <w:szCs w:val="22"/>
              </w:rPr>
            </w:pPr>
            <w:r w:rsidRPr="00491A41">
              <w:rPr>
                <w:sz w:val="22"/>
                <w:szCs w:val="22"/>
              </w:rPr>
              <w:t>MI</w:t>
            </w:r>
          </w:p>
        </w:tc>
        <w:tc>
          <w:tcPr>
            <w:tcW w:w="7938" w:type="dxa"/>
            <w:tcBorders>
              <w:top w:val="single" w:sz="4" w:space="0" w:color="000000" w:themeColor="text1"/>
              <w:left w:val="single" w:sz="4" w:space="0" w:color="000000" w:themeColor="text1"/>
              <w:bottom w:val="single" w:sz="4" w:space="0" w:color="auto"/>
            </w:tcBorders>
            <w:vAlign w:val="center"/>
          </w:tcPr>
          <w:p w14:paraId="32E0E701" w14:textId="77777777" w:rsidR="007E0F2D" w:rsidRPr="00491A41" w:rsidRDefault="007E0F2D" w:rsidP="007E0F2D">
            <w:pPr>
              <w:jc w:val="both"/>
              <w:rPr>
                <w:sz w:val="22"/>
                <w:szCs w:val="22"/>
              </w:rPr>
            </w:pPr>
            <w:r w:rsidRPr="00491A41">
              <w:rPr>
                <w:sz w:val="22"/>
                <w:szCs w:val="22"/>
              </w:rPr>
              <w:t>w § 5 projektu rozporządzenia - proponuję usunięcie ust. 1. Przepis ten w nieuzasadniony sposób doprecyzowuje regulacje zawarte w art. 39 ustawy o drogach publicznych. W ust. 3 tego art. wskazano przypadki, gdy zarządca drogi odmawia zgody na umieszczenie w pasie drogowym infrastruktury telekomunikacyjnej. Przepisy rozporządzenia mogą określać warunki techniczne usytuowania tej infrastruktury, a nie decydować o takiej możliwości.</w:t>
            </w:r>
          </w:p>
          <w:p w14:paraId="790AEAAD" w14:textId="77777777" w:rsidR="007E0F2D" w:rsidRPr="00491A41" w:rsidRDefault="007E0F2D" w:rsidP="0098105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2D9DC78" w14:textId="6A7FF49B" w:rsidR="007E0F2D" w:rsidRPr="00491A41" w:rsidRDefault="00BB2FB6" w:rsidP="000D425C">
            <w:pPr>
              <w:snapToGrid w:val="0"/>
              <w:rPr>
                <w:bCs/>
                <w:sz w:val="22"/>
                <w:szCs w:val="22"/>
              </w:rPr>
            </w:pPr>
            <w:r w:rsidRPr="00491A41">
              <w:rPr>
                <w:bCs/>
                <w:sz w:val="22"/>
                <w:szCs w:val="22"/>
              </w:rPr>
              <w:t>Uwaga uwzględniona</w:t>
            </w:r>
          </w:p>
        </w:tc>
      </w:tr>
      <w:tr w:rsidR="00981056" w:rsidRPr="00491A41" w14:paraId="24CF708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FED2211" w14:textId="77777777" w:rsidR="00981056" w:rsidRPr="00491A41" w:rsidRDefault="00981056"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740C69B" w14:textId="77777777" w:rsidR="00981056" w:rsidRPr="00491A41" w:rsidRDefault="00981056" w:rsidP="1CD1E4FC">
            <w:pPr>
              <w:snapToGrid w:val="0"/>
              <w:jc w:val="center"/>
              <w:rPr>
                <w:sz w:val="22"/>
                <w:szCs w:val="22"/>
              </w:rPr>
            </w:pPr>
            <w:r w:rsidRPr="00491A41">
              <w:rPr>
                <w:sz w:val="22"/>
                <w:szCs w:val="22"/>
              </w:rPr>
              <w:t>§ 5</w:t>
            </w:r>
          </w:p>
        </w:tc>
        <w:tc>
          <w:tcPr>
            <w:tcW w:w="933" w:type="dxa"/>
            <w:tcBorders>
              <w:top w:val="single" w:sz="4" w:space="0" w:color="000000" w:themeColor="text1"/>
              <w:left w:val="single" w:sz="4" w:space="0" w:color="000000" w:themeColor="text1"/>
              <w:bottom w:val="single" w:sz="4" w:space="0" w:color="auto"/>
            </w:tcBorders>
            <w:vAlign w:val="center"/>
          </w:tcPr>
          <w:p w14:paraId="0B101FD3" w14:textId="77777777" w:rsidR="00981056" w:rsidRPr="00491A41" w:rsidRDefault="00981056" w:rsidP="1CD1E4FC">
            <w:pPr>
              <w:snapToGrid w:val="0"/>
              <w:jc w:val="center"/>
              <w:rPr>
                <w:sz w:val="22"/>
                <w:szCs w:val="22"/>
              </w:rPr>
            </w:pPr>
            <w:r w:rsidRPr="00491A41">
              <w:rPr>
                <w:sz w:val="22"/>
                <w:szCs w:val="22"/>
              </w:rPr>
              <w:t>RCL</w:t>
            </w:r>
          </w:p>
        </w:tc>
        <w:tc>
          <w:tcPr>
            <w:tcW w:w="7938" w:type="dxa"/>
            <w:tcBorders>
              <w:top w:val="single" w:sz="4" w:space="0" w:color="000000" w:themeColor="text1"/>
              <w:left w:val="single" w:sz="4" w:space="0" w:color="000000" w:themeColor="text1"/>
              <w:bottom w:val="single" w:sz="4" w:space="0" w:color="auto"/>
            </w:tcBorders>
            <w:vAlign w:val="center"/>
          </w:tcPr>
          <w:p w14:paraId="04A18A58" w14:textId="77777777" w:rsidR="00981056" w:rsidRPr="00491A41" w:rsidRDefault="00981056" w:rsidP="00981056">
            <w:pPr>
              <w:jc w:val="both"/>
              <w:rPr>
                <w:sz w:val="22"/>
                <w:szCs w:val="22"/>
              </w:rPr>
            </w:pPr>
            <w:r w:rsidRPr="00491A41">
              <w:rPr>
                <w:sz w:val="22"/>
                <w:szCs w:val="22"/>
              </w:rPr>
              <w:t xml:space="preserve">W § 5 projektu wyrazy „jego całkowitej zajętości” proponuje się zastąpić wyrazami „gdy kanał ten jest całkowicie zajęty”. Ponadto odnośnie do § 5 ust. 2 i tytułu załącznika nr 1 do projektowanego rozporządzenia należałoby zwrócić uwagę na potrzebę zapewnienia spójności ich brzmienia w zakresie znajdujących się w tytule załącznika wyrazów „PODZIEMNE I NADZIEMNE”.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444F748" w14:textId="77777777" w:rsidR="00981056" w:rsidRPr="00491A41" w:rsidRDefault="00BB2FB6" w:rsidP="00BB2FB6">
            <w:pPr>
              <w:snapToGrid w:val="0"/>
              <w:jc w:val="both"/>
              <w:rPr>
                <w:bCs/>
                <w:sz w:val="22"/>
                <w:szCs w:val="22"/>
              </w:rPr>
            </w:pPr>
            <w:r w:rsidRPr="00491A41">
              <w:rPr>
                <w:bCs/>
                <w:sz w:val="22"/>
                <w:szCs w:val="22"/>
              </w:rPr>
              <w:t>Uwaga uwzględniona</w:t>
            </w:r>
          </w:p>
        </w:tc>
      </w:tr>
      <w:tr w:rsidR="00ED06E5" w:rsidRPr="00491A41" w14:paraId="1CAA211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51CD00C" w14:textId="77777777" w:rsidR="00ED06E5" w:rsidRPr="00491A41" w:rsidRDefault="00ED06E5"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D663080" w14:textId="77777777" w:rsidR="00ED06E5" w:rsidRPr="00491A41" w:rsidRDefault="00ED06E5" w:rsidP="1CD1E4FC">
            <w:pPr>
              <w:snapToGrid w:val="0"/>
              <w:jc w:val="center"/>
              <w:rPr>
                <w:sz w:val="22"/>
                <w:szCs w:val="22"/>
              </w:rPr>
            </w:pPr>
            <w:r w:rsidRPr="00491A41">
              <w:rPr>
                <w:sz w:val="22"/>
                <w:szCs w:val="22"/>
              </w:rPr>
              <w:t>§ 6 ust. 2</w:t>
            </w:r>
          </w:p>
        </w:tc>
        <w:tc>
          <w:tcPr>
            <w:tcW w:w="933" w:type="dxa"/>
            <w:tcBorders>
              <w:top w:val="single" w:sz="4" w:space="0" w:color="000000" w:themeColor="text1"/>
              <w:left w:val="single" w:sz="4" w:space="0" w:color="000000" w:themeColor="text1"/>
              <w:bottom w:val="single" w:sz="4" w:space="0" w:color="auto"/>
            </w:tcBorders>
            <w:vAlign w:val="center"/>
          </w:tcPr>
          <w:p w14:paraId="545F9E07" w14:textId="77777777" w:rsidR="00ED06E5" w:rsidRPr="00491A41" w:rsidRDefault="00ED06E5" w:rsidP="1CD1E4FC">
            <w:pPr>
              <w:snapToGrid w:val="0"/>
              <w:jc w:val="center"/>
              <w:rPr>
                <w:sz w:val="22"/>
                <w:szCs w:val="22"/>
              </w:rPr>
            </w:pPr>
            <w:r w:rsidRPr="00491A41">
              <w:rPr>
                <w:sz w:val="22"/>
                <w:szCs w:val="22"/>
              </w:rPr>
              <w:t>MI</w:t>
            </w:r>
          </w:p>
        </w:tc>
        <w:tc>
          <w:tcPr>
            <w:tcW w:w="7938" w:type="dxa"/>
            <w:tcBorders>
              <w:top w:val="single" w:sz="4" w:space="0" w:color="000000" w:themeColor="text1"/>
              <w:left w:val="single" w:sz="4" w:space="0" w:color="000000" w:themeColor="text1"/>
              <w:bottom w:val="single" w:sz="4" w:space="0" w:color="auto"/>
            </w:tcBorders>
            <w:vAlign w:val="center"/>
          </w:tcPr>
          <w:p w14:paraId="733E5260" w14:textId="77777777" w:rsidR="00ED06E5" w:rsidRPr="00491A41" w:rsidRDefault="00ED06E5" w:rsidP="00ED06E5">
            <w:pPr>
              <w:jc w:val="both"/>
              <w:rPr>
                <w:sz w:val="22"/>
                <w:szCs w:val="22"/>
              </w:rPr>
            </w:pPr>
            <w:r w:rsidRPr="00491A41">
              <w:rPr>
                <w:sz w:val="22"/>
                <w:szCs w:val="22"/>
              </w:rPr>
              <w:t>w § 6 ust. 2 proponuję następujące brzmienie pkt 1-4:</w:t>
            </w:r>
          </w:p>
          <w:p w14:paraId="38EB12EE" w14:textId="77777777" w:rsidR="00ED06E5" w:rsidRPr="00491A41" w:rsidRDefault="00ED06E5" w:rsidP="00ED06E5">
            <w:pPr>
              <w:jc w:val="both"/>
              <w:rPr>
                <w:i/>
                <w:sz w:val="22"/>
                <w:szCs w:val="22"/>
              </w:rPr>
            </w:pPr>
            <w:r w:rsidRPr="00491A41">
              <w:rPr>
                <w:i/>
                <w:sz w:val="22"/>
                <w:szCs w:val="22"/>
              </w:rPr>
              <w:t>1) 15 kN – dla powierzchni przeznaczonych wyłącznie do ruchu pieszych, osób poruszających się przy użyciu urządzenia wspomagającego ruch, rowerów, hulajnóg elektrycznych lub urządzeń transportu osobistego,</w:t>
            </w:r>
          </w:p>
          <w:p w14:paraId="2D41F739" w14:textId="77777777" w:rsidR="00ED06E5" w:rsidRPr="00491A41" w:rsidRDefault="00ED06E5" w:rsidP="00ED06E5">
            <w:pPr>
              <w:jc w:val="both"/>
              <w:rPr>
                <w:i/>
                <w:sz w:val="22"/>
                <w:szCs w:val="22"/>
              </w:rPr>
            </w:pPr>
            <w:r w:rsidRPr="00491A41">
              <w:rPr>
                <w:i/>
                <w:sz w:val="22"/>
                <w:szCs w:val="22"/>
              </w:rPr>
              <w:t>2) 125 kN – dla powierzchni przeznaczonych do parkowania samochodów osobowych,</w:t>
            </w:r>
          </w:p>
          <w:p w14:paraId="56B6197A" w14:textId="77777777" w:rsidR="00ED06E5" w:rsidRPr="00491A41" w:rsidRDefault="00ED06E5" w:rsidP="00ED06E5">
            <w:pPr>
              <w:jc w:val="both"/>
              <w:rPr>
                <w:i/>
                <w:sz w:val="22"/>
                <w:szCs w:val="22"/>
              </w:rPr>
            </w:pPr>
            <w:r w:rsidRPr="00491A41">
              <w:rPr>
                <w:i/>
                <w:sz w:val="22"/>
                <w:szCs w:val="22"/>
              </w:rPr>
              <w:t>3) 250 kN – dla zwieńczeń studni, wpustów i studzienek włazowych usytuowanych przy krawężnikach w obszarze, który mierzony od ściany krawężnika może sięgać w tor ruchu maksimum 0,5 m i w drogę dla pieszych, rowerów lub pieszych i rowerów 0,2 m,</w:t>
            </w:r>
          </w:p>
          <w:p w14:paraId="22FC3A02" w14:textId="77777777" w:rsidR="00ED06E5" w:rsidRPr="00491A41" w:rsidRDefault="00ED06E5" w:rsidP="00ED06E5">
            <w:pPr>
              <w:jc w:val="both"/>
              <w:rPr>
                <w:i/>
                <w:sz w:val="22"/>
                <w:szCs w:val="22"/>
              </w:rPr>
            </w:pPr>
            <w:r w:rsidRPr="00491A41">
              <w:rPr>
                <w:i/>
                <w:sz w:val="22"/>
                <w:szCs w:val="22"/>
              </w:rPr>
              <w:t>4) 400 kN – dla powierzchni przeznaczonych do ruchu i postoju pojazdów silnikowych.</w:t>
            </w:r>
          </w:p>
          <w:p w14:paraId="414A2CA7" w14:textId="77777777" w:rsidR="00ED06E5" w:rsidRPr="00491A41" w:rsidRDefault="00ED06E5" w:rsidP="00ED06E5">
            <w:pPr>
              <w:jc w:val="both"/>
              <w:rPr>
                <w:sz w:val="22"/>
                <w:szCs w:val="22"/>
              </w:rPr>
            </w:pPr>
            <w:r w:rsidRPr="00491A41">
              <w:rPr>
                <w:sz w:val="22"/>
                <w:szCs w:val="22"/>
              </w:rPr>
              <w:t>Wymagania zawarte w pkt 1 i 2 oraz w pkt 2 i 4 są ze sobą sprzeczne, a użyta nomenklatura jest niespójna.</w:t>
            </w:r>
          </w:p>
          <w:p w14:paraId="559FD8E9" w14:textId="77777777" w:rsidR="00ED06E5" w:rsidRPr="00491A41" w:rsidRDefault="00ED06E5" w:rsidP="0098105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1EA641D" w14:textId="2415691F" w:rsidR="00502C26" w:rsidRPr="00491A41" w:rsidRDefault="00FA3751" w:rsidP="000A128B">
            <w:pPr>
              <w:snapToGrid w:val="0"/>
              <w:jc w:val="both"/>
              <w:rPr>
                <w:bCs/>
                <w:sz w:val="22"/>
                <w:szCs w:val="22"/>
              </w:rPr>
            </w:pPr>
            <w:r w:rsidRPr="00491A41">
              <w:rPr>
                <w:bCs/>
                <w:sz w:val="22"/>
                <w:szCs w:val="22"/>
              </w:rPr>
              <w:t xml:space="preserve">Uwaga </w:t>
            </w:r>
            <w:proofErr w:type="spellStart"/>
            <w:r w:rsidR="00502C26">
              <w:rPr>
                <w:bCs/>
                <w:sz w:val="22"/>
                <w:szCs w:val="22"/>
              </w:rPr>
              <w:t>uwzględnionia</w:t>
            </w:r>
            <w:proofErr w:type="spellEnd"/>
            <w:r w:rsidR="00502C26">
              <w:rPr>
                <w:bCs/>
                <w:sz w:val="22"/>
                <w:szCs w:val="22"/>
              </w:rPr>
              <w:t xml:space="preserve"> w § 5 ust. 2.</w:t>
            </w:r>
          </w:p>
          <w:p w14:paraId="77EECE30" w14:textId="186641E4" w:rsidR="00ED06E5" w:rsidRPr="00491A41" w:rsidRDefault="00ED06E5" w:rsidP="000A128B">
            <w:pPr>
              <w:snapToGrid w:val="0"/>
              <w:jc w:val="both"/>
              <w:rPr>
                <w:bCs/>
                <w:sz w:val="22"/>
                <w:szCs w:val="22"/>
              </w:rPr>
            </w:pPr>
          </w:p>
          <w:p w14:paraId="1F69107C" w14:textId="25FA95E8" w:rsidR="0054146D" w:rsidRPr="00491A41" w:rsidRDefault="0054146D" w:rsidP="000A128B">
            <w:pPr>
              <w:snapToGrid w:val="0"/>
              <w:jc w:val="both"/>
              <w:rPr>
                <w:bCs/>
                <w:sz w:val="22"/>
                <w:szCs w:val="22"/>
              </w:rPr>
            </w:pPr>
          </w:p>
        </w:tc>
      </w:tr>
      <w:tr w:rsidR="00981056" w:rsidRPr="00491A41" w14:paraId="5DC4B2B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5C34F9C" w14:textId="77777777" w:rsidR="00981056" w:rsidRPr="00491A41" w:rsidRDefault="00981056"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0D1E39E" w14:textId="77777777" w:rsidR="00981056" w:rsidRPr="00491A41" w:rsidRDefault="00981056" w:rsidP="1CD1E4FC">
            <w:pPr>
              <w:snapToGrid w:val="0"/>
              <w:jc w:val="center"/>
              <w:rPr>
                <w:sz w:val="22"/>
                <w:szCs w:val="22"/>
              </w:rPr>
            </w:pPr>
            <w:r w:rsidRPr="00491A41">
              <w:rPr>
                <w:sz w:val="22"/>
                <w:szCs w:val="22"/>
              </w:rPr>
              <w:t>§ 6</w:t>
            </w:r>
          </w:p>
        </w:tc>
        <w:tc>
          <w:tcPr>
            <w:tcW w:w="933" w:type="dxa"/>
            <w:tcBorders>
              <w:top w:val="single" w:sz="4" w:space="0" w:color="000000" w:themeColor="text1"/>
              <w:left w:val="single" w:sz="4" w:space="0" w:color="000000" w:themeColor="text1"/>
              <w:bottom w:val="single" w:sz="4" w:space="0" w:color="auto"/>
            </w:tcBorders>
            <w:vAlign w:val="center"/>
          </w:tcPr>
          <w:p w14:paraId="3F161D55" w14:textId="77777777" w:rsidR="00981056" w:rsidRPr="00491A41" w:rsidRDefault="00981056" w:rsidP="1CD1E4FC">
            <w:pPr>
              <w:snapToGrid w:val="0"/>
              <w:jc w:val="center"/>
              <w:rPr>
                <w:sz w:val="22"/>
                <w:szCs w:val="22"/>
              </w:rPr>
            </w:pPr>
            <w:r w:rsidRPr="00491A41">
              <w:rPr>
                <w:sz w:val="22"/>
                <w:szCs w:val="22"/>
              </w:rPr>
              <w:t>RCL</w:t>
            </w:r>
          </w:p>
        </w:tc>
        <w:tc>
          <w:tcPr>
            <w:tcW w:w="7938" w:type="dxa"/>
            <w:tcBorders>
              <w:top w:val="single" w:sz="4" w:space="0" w:color="000000" w:themeColor="text1"/>
              <w:left w:val="single" w:sz="4" w:space="0" w:color="000000" w:themeColor="text1"/>
              <w:bottom w:val="single" w:sz="4" w:space="0" w:color="auto"/>
            </w:tcBorders>
            <w:vAlign w:val="center"/>
          </w:tcPr>
          <w:p w14:paraId="4E702650" w14:textId="77777777" w:rsidR="00981056" w:rsidRPr="00491A41" w:rsidRDefault="00981056" w:rsidP="00981056">
            <w:pPr>
              <w:jc w:val="both"/>
              <w:rPr>
                <w:sz w:val="22"/>
                <w:szCs w:val="22"/>
              </w:rPr>
            </w:pPr>
            <w:r w:rsidRPr="00491A41">
              <w:rPr>
                <w:sz w:val="22"/>
                <w:szCs w:val="22"/>
              </w:rPr>
              <w:t xml:space="preserve">W § 6 w ust. 2 projektu część wspólna zawiera odesłanie do Polskiej Normy z użyciem cudzysłowu, podczas gdy inne odesłania do tych norm cudzysłowem się nie posługują, zaś tytuł normy różni się od jej tytułu powołanego w § 6 ust. 1 pkt 2 brakiem wyrazu „ściekowych” po wyrazie „wpustów” (brakuje go też w załączniku nr 3 w Lp. 4 w kolumnie „Tytuł normy”), co wymaga ujednolicenia. Ponadto przed wyrazem „zgodnie” proponuje się dodać np. wyrazy „co najmniej” - stosownie do uwagi z pkt 2 niniejszego pisma. Podobnie przepis § 6 ust. 4 proponuje się przeredagować tak, aby zaczynał się w następujący sposób: „Podbudowa słupowa dla telekomunikacyjnych linii kablowych jest projektowana w taki sposób, aby spełniała co najmniej Polskie Normy…”. Analogicznie proponuje się przeredagować ust. 5.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F7A9C23" w14:textId="77777777" w:rsidR="00981056" w:rsidRPr="00491A41" w:rsidRDefault="00BB2FB6" w:rsidP="00BB2FB6">
            <w:pPr>
              <w:snapToGrid w:val="0"/>
              <w:jc w:val="both"/>
              <w:rPr>
                <w:bCs/>
                <w:sz w:val="22"/>
                <w:szCs w:val="22"/>
              </w:rPr>
            </w:pPr>
            <w:r w:rsidRPr="00491A41">
              <w:rPr>
                <w:bCs/>
                <w:sz w:val="22"/>
                <w:szCs w:val="22"/>
              </w:rPr>
              <w:t>Uwaga uwzględniona</w:t>
            </w:r>
          </w:p>
        </w:tc>
      </w:tr>
      <w:tr w:rsidR="0015682D" w:rsidRPr="00491A41" w14:paraId="0C3BD53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E092C09" w14:textId="77777777" w:rsidR="0015682D" w:rsidRPr="00491A41" w:rsidRDefault="0015682D"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0EB4464" w14:textId="77777777" w:rsidR="0015682D" w:rsidRPr="00491A41" w:rsidRDefault="00981056" w:rsidP="00165AA1">
            <w:pPr>
              <w:snapToGrid w:val="0"/>
              <w:jc w:val="center"/>
              <w:rPr>
                <w:bCs/>
                <w:sz w:val="22"/>
                <w:szCs w:val="22"/>
              </w:rPr>
            </w:pPr>
            <w:r w:rsidRPr="00491A41">
              <w:rPr>
                <w:sz w:val="22"/>
                <w:szCs w:val="22"/>
              </w:rPr>
              <w:t>§ 6 oraz załączniki</w:t>
            </w:r>
          </w:p>
        </w:tc>
        <w:tc>
          <w:tcPr>
            <w:tcW w:w="933" w:type="dxa"/>
            <w:tcBorders>
              <w:top w:val="single" w:sz="4" w:space="0" w:color="000000" w:themeColor="text1"/>
              <w:left w:val="single" w:sz="4" w:space="0" w:color="000000" w:themeColor="text1"/>
              <w:bottom w:val="single" w:sz="4" w:space="0" w:color="auto"/>
            </w:tcBorders>
            <w:vAlign w:val="center"/>
          </w:tcPr>
          <w:p w14:paraId="7CAB721D" w14:textId="77777777" w:rsidR="0015682D" w:rsidRPr="00491A41" w:rsidRDefault="00981056" w:rsidP="4138D473">
            <w:pPr>
              <w:snapToGrid w:val="0"/>
              <w:jc w:val="center"/>
              <w:rPr>
                <w:sz w:val="22"/>
                <w:szCs w:val="22"/>
              </w:rPr>
            </w:pPr>
            <w:r w:rsidRPr="00491A41">
              <w:rPr>
                <w:sz w:val="22"/>
                <w:szCs w:val="22"/>
              </w:rPr>
              <w:t>RCL</w:t>
            </w:r>
          </w:p>
        </w:tc>
        <w:tc>
          <w:tcPr>
            <w:tcW w:w="7938" w:type="dxa"/>
            <w:tcBorders>
              <w:top w:val="single" w:sz="4" w:space="0" w:color="000000" w:themeColor="text1"/>
              <w:left w:val="single" w:sz="4" w:space="0" w:color="000000" w:themeColor="text1"/>
              <w:bottom w:val="single" w:sz="4" w:space="0" w:color="auto"/>
            </w:tcBorders>
            <w:vAlign w:val="center"/>
          </w:tcPr>
          <w:p w14:paraId="5845AECE" w14:textId="77777777" w:rsidR="0015682D" w:rsidRPr="00491A41" w:rsidRDefault="00981056" w:rsidP="00BC30AD">
            <w:pPr>
              <w:jc w:val="both"/>
              <w:rPr>
                <w:sz w:val="22"/>
                <w:szCs w:val="22"/>
              </w:rPr>
            </w:pPr>
            <w:r w:rsidRPr="00491A41">
              <w:rPr>
                <w:sz w:val="22"/>
                <w:szCs w:val="22"/>
              </w:rPr>
              <w:t>Ponieważ Polskie Normy, do których następuje odesłanie w przepisach § 6 projektu oraz w załącznikach, nie są ustanowione w drodze przepisów prawa powszechnie obowiązującego, nie można wymagać ich stosowania, tak jakby były przepisami tego prawa. Dlatego proponuje się zredagować przepisy § 6 ust. 2 (część wspólna) oraz ust. 4 i 5 podobnie, jak jest zredagowany przepis § 6 ust. 1 projektu, czy § 7 ust. 1 rozporządzenia Ministra Administracji i Cyfryzacji z dnia 21 kwietnia 2015 r. w sprawie warunków technicznych, jakim powinny odpowiadać kanały technologiczne (Dz.U. z 2015 r. poz. 680), posługując się takimi określeniami jak „co najmniej”, „nie mniej niż” itp. (analogicznie w załączniku nr 2 w ust. 7).</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45000D0" w14:textId="77777777" w:rsidR="000A128B" w:rsidRPr="00491A41" w:rsidRDefault="00BB2FB6" w:rsidP="00BB2FB6">
            <w:pPr>
              <w:snapToGrid w:val="0"/>
              <w:jc w:val="both"/>
              <w:rPr>
                <w:sz w:val="22"/>
                <w:szCs w:val="22"/>
              </w:rPr>
            </w:pPr>
            <w:r w:rsidRPr="00491A41">
              <w:rPr>
                <w:sz w:val="22"/>
                <w:szCs w:val="22"/>
              </w:rPr>
              <w:t>Uwaga uwzględniona</w:t>
            </w:r>
          </w:p>
        </w:tc>
      </w:tr>
      <w:tr w:rsidR="00307A8E" w:rsidRPr="00491A41" w14:paraId="6615FC22" w14:textId="77777777" w:rsidTr="00112975">
        <w:trPr>
          <w:trHeight w:val="296"/>
          <w:jc w:val="center"/>
        </w:trPr>
        <w:tc>
          <w:tcPr>
            <w:tcW w:w="621" w:type="dxa"/>
            <w:tcBorders>
              <w:top w:val="single" w:sz="4" w:space="0" w:color="000000" w:themeColor="text1"/>
              <w:left w:val="single" w:sz="4" w:space="0" w:color="000000" w:themeColor="text1"/>
              <w:bottom w:val="single" w:sz="4" w:space="0" w:color="auto"/>
            </w:tcBorders>
          </w:tcPr>
          <w:p w14:paraId="6E6FC53E" w14:textId="77777777" w:rsidR="00307A8E" w:rsidRPr="00491A41" w:rsidRDefault="00307A8E" w:rsidP="00765C77">
            <w:pPr>
              <w:pStyle w:val="Akapitzlist"/>
              <w:numPr>
                <w:ilvl w:val="0"/>
                <w:numId w:val="39"/>
              </w:numPr>
              <w:ind w:left="357" w:hanging="357"/>
              <w:rPr>
                <w:bCs/>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0EEDE0C" w14:textId="77777777" w:rsidR="00307A8E" w:rsidRPr="00491A41" w:rsidRDefault="00981056" w:rsidP="4138D473">
            <w:pPr>
              <w:snapToGrid w:val="0"/>
              <w:jc w:val="center"/>
              <w:rPr>
                <w:sz w:val="22"/>
                <w:szCs w:val="22"/>
              </w:rPr>
            </w:pPr>
            <w:r w:rsidRPr="00491A41">
              <w:rPr>
                <w:sz w:val="22"/>
                <w:szCs w:val="22"/>
              </w:rPr>
              <w:t>§ 7</w:t>
            </w:r>
          </w:p>
        </w:tc>
        <w:tc>
          <w:tcPr>
            <w:tcW w:w="933" w:type="dxa"/>
            <w:tcBorders>
              <w:top w:val="single" w:sz="4" w:space="0" w:color="000000" w:themeColor="text1"/>
              <w:left w:val="single" w:sz="4" w:space="0" w:color="000000" w:themeColor="text1"/>
              <w:bottom w:val="single" w:sz="4" w:space="0" w:color="auto"/>
            </w:tcBorders>
            <w:vAlign w:val="center"/>
          </w:tcPr>
          <w:p w14:paraId="76C95C61" w14:textId="77777777" w:rsidR="00307A8E" w:rsidRPr="00491A41" w:rsidRDefault="00981056" w:rsidP="4138D473">
            <w:pPr>
              <w:snapToGrid w:val="0"/>
              <w:jc w:val="center"/>
              <w:rPr>
                <w:sz w:val="22"/>
                <w:szCs w:val="22"/>
              </w:rPr>
            </w:pPr>
            <w:r w:rsidRPr="00491A41">
              <w:rPr>
                <w:sz w:val="22"/>
                <w:szCs w:val="22"/>
              </w:rPr>
              <w:t>RCL</w:t>
            </w:r>
          </w:p>
        </w:tc>
        <w:tc>
          <w:tcPr>
            <w:tcW w:w="7938" w:type="dxa"/>
            <w:tcBorders>
              <w:top w:val="single" w:sz="4" w:space="0" w:color="000000" w:themeColor="text1"/>
              <w:left w:val="single" w:sz="4" w:space="0" w:color="000000" w:themeColor="text1"/>
              <w:bottom w:val="single" w:sz="4" w:space="0" w:color="auto"/>
            </w:tcBorders>
            <w:vAlign w:val="center"/>
          </w:tcPr>
          <w:p w14:paraId="25E9F644" w14:textId="77777777" w:rsidR="00307A8E" w:rsidRPr="00491A41" w:rsidRDefault="00981056" w:rsidP="00981056">
            <w:pPr>
              <w:jc w:val="both"/>
              <w:rPr>
                <w:sz w:val="22"/>
                <w:szCs w:val="22"/>
              </w:rPr>
            </w:pPr>
            <w:r w:rsidRPr="00491A41">
              <w:rPr>
                <w:sz w:val="22"/>
                <w:szCs w:val="22"/>
              </w:rPr>
              <w:t xml:space="preserve">W § 7 pkt 1 i 2 projektu proponuje się zamienić miejscami, aby zachować porządek wg kryterium wielkości, tak jak jest wcześniej w § 6 ust. 2 projektu.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B996074" w14:textId="77777777" w:rsidR="000A128B" w:rsidRPr="00491A41" w:rsidRDefault="00BB2FB6" w:rsidP="00BB2FB6">
            <w:pPr>
              <w:snapToGrid w:val="0"/>
              <w:jc w:val="both"/>
              <w:rPr>
                <w:sz w:val="22"/>
                <w:szCs w:val="22"/>
              </w:rPr>
            </w:pPr>
            <w:r w:rsidRPr="00491A41">
              <w:rPr>
                <w:sz w:val="22"/>
                <w:szCs w:val="22"/>
              </w:rPr>
              <w:t>Uwaga uwzględnion</w:t>
            </w:r>
            <w:r w:rsidR="0062601A" w:rsidRPr="00491A41">
              <w:rPr>
                <w:sz w:val="22"/>
                <w:szCs w:val="22"/>
              </w:rPr>
              <w:t>a</w:t>
            </w:r>
          </w:p>
        </w:tc>
      </w:tr>
      <w:tr w:rsidR="007A2043" w:rsidRPr="00491A41" w14:paraId="7D30459B" w14:textId="77777777" w:rsidTr="00112975">
        <w:trPr>
          <w:trHeight w:val="296"/>
          <w:jc w:val="center"/>
        </w:trPr>
        <w:tc>
          <w:tcPr>
            <w:tcW w:w="621" w:type="dxa"/>
            <w:tcBorders>
              <w:top w:val="single" w:sz="4" w:space="0" w:color="000000" w:themeColor="text1"/>
              <w:left w:val="single" w:sz="4" w:space="0" w:color="000000" w:themeColor="text1"/>
              <w:bottom w:val="single" w:sz="4" w:space="0" w:color="auto"/>
            </w:tcBorders>
          </w:tcPr>
          <w:p w14:paraId="747694D1" w14:textId="77777777" w:rsidR="007A2043" w:rsidRPr="00491A41" w:rsidRDefault="007A2043" w:rsidP="00765C77">
            <w:pPr>
              <w:pStyle w:val="Akapitzlist"/>
              <w:numPr>
                <w:ilvl w:val="0"/>
                <w:numId w:val="39"/>
              </w:numPr>
              <w:ind w:left="357" w:hanging="357"/>
              <w:rPr>
                <w:bCs/>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438086C" w14:textId="77777777" w:rsidR="007A2043" w:rsidRPr="00491A41" w:rsidRDefault="007A2043" w:rsidP="007A2043">
            <w:pPr>
              <w:snapToGrid w:val="0"/>
              <w:jc w:val="center"/>
              <w:rPr>
                <w:sz w:val="22"/>
                <w:szCs w:val="22"/>
              </w:rPr>
            </w:pPr>
            <w:r w:rsidRPr="00491A41">
              <w:rPr>
                <w:sz w:val="22"/>
                <w:szCs w:val="22"/>
              </w:rPr>
              <w:t xml:space="preserve">§ 10 </w:t>
            </w:r>
          </w:p>
        </w:tc>
        <w:tc>
          <w:tcPr>
            <w:tcW w:w="933" w:type="dxa"/>
            <w:tcBorders>
              <w:top w:val="single" w:sz="4" w:space="0" w:color="000000" w:themeColor="text1"/>
              <w:left w:val="single" w:sz="4" w:space="0" w:color="000000" w:themeColor="text1"/>
              <w:bottom w:val="single" w:sz="4" w:space="0" w:color="auto"/>
            </w:tcBorders>
            <w:vAlign w:val="center"/>
          </w:tcPr>
          <w:p w14:paraId="74A7B953" w14:textId="1AD2FAB3" w:rsidR="007A2043" w:rsidRPr="00491A41" w:rsidRDefault="007D1C6B" w:rsidP="4138D473">
            <w:pPr>
              <w:snapToGrid w:val="0"/>
              <w:jc w:val="center"/>
              <w:rPr>
                <w:sz w:val="22"/>
                <w:szCs w:val="22"/>
              </w:rPr>
            </w:pPr>
            <w:proofErr w:type="spellStart"/>
            <w:r>
              <w:rPr>
                <w:sz w:val="22"/>
                <w:szCs w:val="22"/>
              </w:rPr>
              <w:t>MRiT</w:t>
            </w:r>
            <w:proofErr w:type="spellEnd"/>
            <w:r>
              <w:rPr>
                <w:sz w:val="22"/>
                <w:szCs w:val="22"/>
              </w:rPr>
              <w:t xml:space="preserve"> (d. </w:t>
            </w:r>
            <w:proofErr w:type="spellStart"/>
            <w:r>
              <w:rPr>
                <w:sz w:val="22"/>
                <w:szCs w:val="22"/>
              </w:rPr>
              <w:t>MRPiT</w:t>
            </w:r>
            <w:proofErr w:type="spellEnd"/>
            <w:r>
              <w:rPr>
                <w:sz w:val="22"/>
                <w:szCs w:val="22"/>
              </w:rPr>
              <w:t>)</w:t>
            </w:r>
          </w:p>
        </w:tc>
        <w:tc>
          <w:tcPr>
            <w:tcW w:w="7938" w:type="dxa"/>
            <w:tcBorders>
              <w:top w:val="single" w:sz="4" w:space="0" w:color="000000" w:themeColor="text1"/>
              <w:left w:val="single" w:sz="4" w:space="0" w:color="000000" w:themeColor="text1"/>
              <w:bottom w:val="single" w:sz="4" w:space="0" w:color="auto"/>
            </w:tcBorders>
            <w:vAlign w:val="center"/>
          </w:tcPr>
          <w:p w14:paraId="617D97CA" w14:textId="77777777" w:rsidR="007A2043" w:rsidRPr="00491A41" w:rsidRDefault="007A2043" w:rsidP="007A2043">
            <w:pPr>
              <w:jc w:val="both"/>
              <w:rPr>
                <w:sz w:val="22"/>
                <w:szCs w:val="22"/>
              </w:rPr>
            </w:pPr>
            <w:r w:rsidRPr="00491A41">
              <w:rPr>
                <w:sz w:val="22"/>
                <w:szCs w:val="22"/>
              </w:rPr>
              <w:t xml:space="preserve">Wyjaśnienia wymaga, czy użyte w § 10 projektu wyrażenia: „względy technologiczne” oraz „wymagania bezpieczeństwa” będą wystarczająco zrozumiałe dla adresatów tych norm. W projekcie rozporządzenia nie zdefiniowano tych pojęć, także w uzasadnieniu do projektu nie znajduje się ich wyjaśnienie. </w:t>
            </w:r>
          </w:p>
          <w:p w14:paraId="2A351D4A" w14:textId="77777777" w:rsidR="007A2043" w:rsidRPr="00491A41" w:rsidRDefault="007A2043" w:rsidP="007A2043">
            <w:pPr>
              <w:jc w:val="both"/>
              <w:rPr>
                <w:sz w:val="22"/>
                <w:szCs w:val="22"/>
              </w:rPr>
            </w:pPr>
            <w:r w:rsidRPr="00491A41">
              <w:rPr>
                <w:sz w:val="22"/>
                <w:szCs w:val="22"/>
              </w:rPr>
              <w:t>W uzasadnieniu do projektu wskazano, że projektowane rozwiązania mają na celu „stworzenie przejrzystego otoczenia prawnego, ułatwiającego prowadzenie działalności gospodarczej przez podmioty obecnie funkcjonujące na rynku, a także przedsiębiorców, którzy zamierzają dopiero podjąć taką działalność”. Wydaje się jednak, że § 10 projektu nie realizuje w sposób wystarczający tego celu. Zaproponowane brzmienie przepisu skutkować może tym, że adresaci projektowanej normy nie będą w stanie jednoznacznie określić warunków jakimi powinny odpowiadać wskazane instalacje (antenowe konstrukcje wsporcze, wolno stojące maszty antenowe, wieże antenowe) z perspektywy zachowania należytych standardów bezpieczeństwa i ochrony zdrowia.</w:t>
            </w:r>
          </w:p>
          <w:p w14:paraId="52B171DB" w14:textId="77777777" w:rsidR="007A2043" w:rsidRPr="00491A41" w:rsidRDefault="007A2043" w:rsidP="007A2043">
            <w:pPr>
              <w:jc w:val="both"/>
              <w:rPr>
                <w:sz w:val="22"/>
                <w:szCs w:val="22"/>
              </w:rPr>
            </w:pPr>
            <w:r w:rsidRPr="00491A41">
              <w:rPr>
                <w:sz w:val="22"/>
                <w:szCs w:val="22"/>
              </w:rPr>
              <w:t>Wyjaśnienia wymaga zatem jakie względy technologiczne i wymagania bezpieczeństwa należałoby zagwarantować, aby zapewnić ochronę przed polem elektromagnetycznym (…) czy też bezpieczeństwo i higienę pracy w pobliżu urządzeń wytwarzających pole elektromagnetyczne, o których mowa w projektowanym przepisie.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9FCB32B" w14:textId="51705900" w:rsidR="009C1876" w:rsidRDefault="00BB2FB6">
            <w:pPr>
              <w:snapToGrid w:val="0"/>
              <w:rPr>
                <w:sz w:val="22"/>
                <w:szCs w:val="22"/>
              </w:rPr>
            </w:pPr>
            <w:r w:rsidRPr="00491A41">
              <w:rPr>
                <w:sz w:val="22"/>
                <w:szCs w:val="22"/>
              </w:rPr>
              <w:t>Uwaga uwzględniona</w:t>
            </w:r>
          </w:p>
          <w:p w14:paraId="5E1327DF" w14:textId="77777777" w:rsidR="00DD2666" w:rsidRPr="00491A41" w:rsidRDefault="00DD2666">
            <w:pPr>
              <w:snapToGrid w:val="0"/>
              <w:rPr>
                <w:sz w:val="22"/>
                <w:szCs w:val="22"/>
              </w:rPr>
            </w:pPr>
          </w:p>
          <w:p w14:paraId="7C69AD74" w14:textId="22513AC9" w:rsidR="009C1876" w:rsidRPr="00491A41" w:rsidRDefault="009C1876">
            <w:pPr>
              <w:snapToGrid w:val="0"/>
              <w:rPr>
                <w:sz w:val="22"/>
                <w:szCs w:val="22"/>
              </w:rPr>
            </w:pPr>
            <w:r w:rsidRPr="00491A41">
              <w:rPr>
                <w:sz w:val="22"/>
                <w:szCs w:val="22"/>
              </w:rPr>
              <w:t xml:space="preserve">W uzasadnieniu wyjaśniono o jakie względy technologiczne i wymagania bezpieczeństwa zapewniające ochronę przed polem elektromagnetycznym chodzi. </w:t>
            </w:r>
          </w:p>
        </w:tc>
      </w:tr>
      <w:tr w:rsidR="007A2043" w:rsidRPr="00491A41" w14:paraId="6F34005E" w14:textId="77777777" w:rsidTr="00112975">
        <w:trPr>
          <w:trHeight w:val="296"/>
          <w:jc w:val="center"/>
        </w:trPr>
        <w:tc>
          <w:tcPr>
            <w:tcW w:w="621" w:type="dxa"/>
            <w:tcBorders>
              <w:top w:val="single" w:sz="4" w:space="0" w:color="000000" w:themeColor="text1"/>
              <w:left w:val="single" w:sz="4" w:space="0" w:color="000000" w:themeColor="text1"/>
              <w:bottom w:val="single" w:sz="4" w:space="0" w:color="auto"/>
            </w:tcBorders>
          </w:tcPr>
          <w:p w14:paraId="3FEB3EEC" w14:textId="35A9BE46" w:rsidR="007A2043" w:rsidRPr="00491A41" w:rsidRDefault="007A2043" w:rsidP="00765C77">
            <w:pPr>
              <w:pStyle w:val="Akapitzlist"/>
              <w:numPr>
                <w:ilvl w:val="0"/>
                <w:numId w:val="39"/>
              </w:numPr>
              <w:ind w:left="357" w:hanging="357"/>
              <w:rPr>
                <w:bCs/>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ED9C810" w14:textId="77777777" w:rsidR="007A2043" w:rsidRPr="00491A41" w:rsidRDefault="007A2043" w:rsidP="007A2043">
            <w:pPr>
              <w:snapToGrid w:val="0"/>
              <w:jc w:val="center"/>
              <w:rPr>
                <w:sz w:val="22"/>
                <w:szCs w:val="22"/>
              </w:rPr>
            </w:pPr>
            <w:r w:rsidRPr="00491A41">
              <w:rPr>
                <w:sz w:val="22"/>
                <w:szCs w:val="22"/>
              </w:rPr>
              <w:t>§ 10</w:t>
            </w:r>
          </w:p>
        </w:tc>
        <w:tc>
          <w:tcPr>
            <w:tcW w:w="933" w:type="dxa"/>
            <w:tcBorders>
              <w:top w:val="single" w:sz="4" w:space="0" w:color="000000" w:themeColor="text1"/>
              <w:left w:val="single" w:sz="4" w:space="0" w:color="000000" w:themeColor="text1"/>
              <w:bottom w:val="single" w:sz="4" w:space="0" w:color="auto"/>
            </w:tcBorders>
            <w:vAlign w:val="center"/>
          </w:tcPr>
          <w:p w14:paraId="43DCEFF8" w14:textId="77777777" w:rsidR="007A2043" w:rsidRPr="00491A41" w:rsidRDefault="007A2043" w:rsidP="007A2043">
            <w:pPr>
              <w:snapToGrid w:val="0"/>
              <w:jc w:val="center"/>
              <w:rPr>
                <w:sz w:val="22"/>
                <w:szCs w:val="22"/>
              </w:rPr>
            </w:pPr>
            <w:r w:rsidRPr="00491A41">
              <w:rPr>
                <w:sz w:val="22"/>
                <w:szCs w:val="22"/>
              </w:rPr>
              <w:t>MRPiT</w:t>
            </w:r>
          </w:p>
        </w:tc>
        <w:tc>
          <w:tcPr>
            <w:tcW w:w="7938" w:type="dxa"/>
            <w:tcBorders>
              <w:top w:val="single" w:sz="4" w:space="0" w:color="000000" w:themeColor="text1"/>
              <w:left w:val="single" w:sz="4" w:space="0" w:color="000000" w:themeColor="text1"/>
              <w:bottom w:val="single" w:sz="4" w:space="0" w:color="auto"/>
            </w:tcBorders>
            <w:vAlign w:val="center"/>
          </w:tcPr>
          <w:p w14:paraId="0DEED4FD" w14:textId="77777777" w:rsidR="007A2043" w:rsidRPr="00491A41" w:rsidRDefault="007A2043" w:rsidP="007A2043">
            <w:pPr>
              <w:jc w:val="both"/>
              <w:rPr>
                <w:sz w:val="22"/>
                <w:szCs w:val="22"/>
              </w:rPr>
            </w:pPr>
            <w:r w:rsidRPr="00491A41">
              <w:rPr>
                <w:sz w:val="22"/>
                <w:szCs w:val="22"/>
              </w:rPr>
              <w:t>W pkt 1 § 10 projektu znajduje się odesłanie do przepisów odrębnych (w zakresie norm dopuszczalnych poziomów pól elektromagnetycznych). W odesłaniu nie zostały wskazane konkretne regulacje, tym samym sugeruje się rozważyć wskazanie konkretnych przepisów w projektowanej normie lub w uzasadnieniu do projektu.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E6DA3DC" w14:textId="77777777" w:rsidR="007A2043" w:rsidRPr="00491A41" w:rsidRDefault="00BB2FB6" w:rsidP="000D2D27">
            <w:pPr>
              <w:snapToGrid w:val="0"/>
              <w:jc w:val="both"/>
              <w:rPr>
                <w:sz w:val="22"/>
                <w:szCs w:val="22"/>
              </w:rPr>
            </w:pPr>
            <w:r w:rsidRPr="00491A41">
              <w:rPr>
                <w:sz w:val="22"/>
                <w:szCs w:val="22"/>
              </w:rPr>
              <w:t>Uwaga uwzględniona</w:t>
            </w:r>
            <w:r w:rsidR="005649DA" w:rsidRPr="00491A41">
              <w:rPr>
                <w:sz w:val="22"/>
                <w:szCs w:val="22"/>
              </w:rPr>
              <w:t xml:space="preserve"> w sposób wskazany przez RCL (uwaga poniżej)</w:t>
            </w:r>
          </w:p>
        </w:tc>
      </w:tr>
      <w:tr w:rsidR="4138D473" w:rsidRPr="00491A41" w14:paraId="7482F0B9"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38FF00FF" w14:textId="77777777" w:rsidR="4138D473" w:rsidRPr="00491A41" w:rsidRDefault="4138D473"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29D61160" w14:textId="77777777" w:rsidR="31BEBA73" w:rsidRPr="00491A41" w:rsidRDefault="00981056" w:rsidP="4138D473">
            <w:pPr>
              <w:pStyle w:val="Tekstpodstawowy"/>
              <w:jc w:val="center"/>
              <w:rPr>
                <w:sz w:val="22"/>
                <w:szCs w:val="22"/>
              </w:rPr>
            </w:pPr>
            <w:r w:rsidRPr="00491A41">
              <w:rPr>
                <w:sz w:val="22"/>
                <w:szCs w:val="22"/>
              </w:rPr>
              <w:t>§ 10</w:t>
            </w:r>
          </w:p>
        </w:tc>
        <w:tc>
          <w:tcPr>
            <w:tcW w:w="933" w:type="dxa"/>
            <w:tcBorders>
              <w:top w:val="single" w:sz="4" w:space="0" w:color="auto"/>
              <w:left w:val="single" w:sz="4" w:space="0" w:color="auto"/>
              <w:bottom w:val="single" w:sz="4" w:space="0" w:color="auto"/>
              <w:right w:val="single" w:sz="4" w:space="0" w:color="auto"/>
            </w:tcBorders>
          </w:tcPr>
          <w:p w14:paraId="14656871" w14:textId="77777777" w:rsidR="31BEBA73" w:rsidRPr="00491A41" w:rsidRDefault="00981056" w:rsidP="4138D473">
            <w:pPr>
              <w:jc w:val="center"/>
              <w:rPr>
                <w:sz w:val="22"/>
                <w:szCs w:val="22"/>
              </w:rPr>
            </w:pPr>
            <w:r w:rsidRPr="00491A41">
              <w:rPr>
                <w:sz w:val="22"/>
                <w:szCs w:val="22"/>
              </w:rPr>
              <w:t>RCL</w:t>
            </w:r>
          </w:p>
        </w:tc>
        <w:tc>
          <w:tcPr>
            <w:tcW w:w="7938" w:type="dxa"/>
            <w:tcBorders>
              <w:top w:val="single" w:sz="4" w:space="0" w:color="auto"/>
              <w:left w:val="single" w:sz="4" w:space="0" w:color="auto"/>
              <w:bottom w:val="single" w:sz="4" w:space="0" w:color="auto"/>
              <w:right w:val="single" w:sz="4" w:space="0" w:color="auto"/>
            </w:tcBorders>
          </w:tcPr>
          <w:p w14:paraId="1164855B" w14:textId="77777777" w:rsidR="31BEBA73" w:rsidRPr="00491A41" w:rsidRDefault="00981056" w:rsidP="4138D473">
            <w:pPr>
              <w:jc w:val="both"/>
              <w:rPr>
                <w:sz w:val="22"/>
                <w:szCs w:val="22"/>
              </w:rPr>
            </w:pPr>
            <w:r w:rsidRPr="00491A41">
              <w:rPr>
                <w:sz w:val="22"/>
                <w:szCs w:val="22"/>
              </w:rPr>
              <w:t>Odnośnie do przepisu § 10 pkt 1 projektu, w którym odsyła się do „przepisów odrębnych”, proponuje się albo doprecyzować to odesłanie o wskazanie tych przepisów zgodnie z § 156 Zasad techniki prawodawczej albo zrezygnować z odesłania. Przepis w obecnej formie nie informuje precyzyjnie adresatów aktu, które normy mają zastosować.</w:t>
            </w:r>
          </w:p>
        </w:tc>
        <w:tc>
          <w:tcPr>
            <w:tcW w:w="4050" w:type="dxa"/>
            <w:tcBorders>
              <w:top w:val="single" w:sz="4" w:space="0" w:color="auto"/>
              <w:left w:val="single" w:sz="4" w:space="0" w:color="auto"/>
              <w:bottom w:val="single" w:sz="4" w:space="0" w:color="auto"/>
              <w:right w:val="single" w:sz="4" w:space="0" w:color="auto"/>
            </w:tcBorders>
          </w:tcPr>
          <w:p w14:paraId="585CA06A" w14:textId="77777777" w:rsidR="000A128B" w:rsidRPr="00491A41" w:rsidRDefault="00BB2FB6" w:rsidP="00BB2FB6">
            <w:pPr>
              <w:rPr>
                <w:bCs/>
                <w:sz w:val="22"/>
                <w:szCs w:val="22"/>
              </w:rPr>
            </w:pPr>
            <w:r w:rsidRPr="00491A41">
              <w:rPr>
                <w:bCs/>
                <w:sz w:val="22"/>
                <w:szCs w:val="22"/>
              </w:rPr>
              <w:t>Uwaga uwzględniona</w:t>
            </w:r>
          </w:p>
        </w:tc>
      </w:tr>
      <w:tr w:rsidR="007A2043" w:rsidRPr="00491A41" w14:paraId="192DB5B1"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5E59F0D3" w14:textId="77777777" w:rsidR="007A2043" w:rsidRPr="00491A41" w:rsidRDefault="007A2043"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3B78C62A" w14:textId="77777777" w:rsidR="007A2043" w:rsidRPr="00491A41" w:rsidRDefault="007A2043" w:rsidP="4138D473">
            <w:pPr>
              <w:pStyle w:val="Tekstpodstawowy"/>
              <w:jc w:val="center"/>
              <w:rPr>
                <w:sz w:val="22"/>
                <w:szCs w:val="22"/>
              </w:rPr>
            </w:pPr>
            <w:r w:rsidRPr="00491A41">
              <w:rPr>
                <w:sz w:val="22"/>
                <w:szCs w:val="22"/>
              </w:rPr>
              <w:t>§ 12</w:t>
            </w:r>
            <w:r w:rsidRPr="00491A41">
              <w:rPr>
                <w:rFonts w:eastAsiaTheme="minorHAnsi"/>
                <w:sz w:val="22"/>
                <w:szCs w:val="22"/>
                <w:lang w:eastAsia="en-US"/>
              </w:rPr>
              <w:t xml:space="preserve"> </w:t>
            </w:r>
            <w:r w:rsidRPr="00491A41">
              <w:rPr>
                <w:sz w:val="22"/>
                <w:szCs w:val="22"/>
              </w:rPr>
              <w:t>ust. 3 (analogicznie - str. 39 uzasadnienia)</w:t>
            </w:r>
          </w:p>
        </w:tc>
        <w:tc>
          <w:tcPr>
            <w:tcW w:w="933" w:type="dxa"/>
            <w:tcBorders>
              <w:top w:val="single" w:sz="4" w:space="0" w:color="auto"/>
              <w:left w:val="single" w:sz="4" w:space="0" w:color="auto"/>
              <w:bottom w:val="single" w:sz="4" w:space="0" w:color="auto"/>
              <w:right w:val="single" w:sz="4" w:space="0" w:color="auto"/>
            </w:tcBorders>
          </w:tcPr>
          <w:p w14:paraId="2357083C" w14:textId="63DDBCB4" w:rsidR="007A2043" w:rsidRPr="00491A41" w:rsidRDefault="007D1C6B" w:rsidP="4138D473">
            <w:pPr>
              <w:jc w:val="center"/>
              <w:rPr>
                <w:sz w:val="22"/>
                <w:szCs w:val="22"/>
              </w:rPr>
            </w:pPr>
            <w:proofErr w:type="spellStart"/>
            <w:r>
              <w:rPr>
                <w:sz w:val="22"/>
                <w:szCs w:val="22"/>
              </w:rPr>
              <w:t>MRiT</w:t>
            </w:r>
            <w:proofErr w:type="spellEnd"/>
            <w:r>
              <w:rPr>
                <w:sz w:val="22"/>
                <w:szCs w:val="22"/>
              </w:rPr>
              <w:t xml:space="preserve"> (d. </w:t>
            </w:r>
            <w:proofErr w:type="spellStart"/>
            <w:r>
              <w:rPr>
                <w:sz w:val="22"/>
                <w:szCs w:val="22"/>
              </w:rPr>
              <w:t>MRPiT</w:t>
            </w:r>
            <w:proofErr w:type="spellEnd"/>
            <w:r>
              <w:rPr>
                <w:sz w:val="22"/>
                <w:szCs w:val="22"/>
              </w:rPr>
              <w:t>)</w:t>
            </w:r>
          </w:p>
        </w:tc>
        <w:tc>
          <w:tcPr>
            <w:tcW w:w="7938" w:type="dxa"/>
            <w:tcBorders>
              <w:top w:val="single" w:sz="4" w:space="0" w:color="auto"/>
              <w:left w:val="single" w:sz="4" w:space="0" w:color="auto"/>
              <w:bottom w:val="single" w:sz="4" w:space="0" w:color="auto"/>
              <w:right w:val="single" w:sz="4" w:space="0" w:color="auto"/>
            </w:tcBorders>
          </w:tcPr>
          <w:p w14:paraId="5CE3AA81" w14:textId="0005F939" w:rsidR="007A2043" w:rsidRPr="00491A41" w:rsidRDefault="007A2043" w:rsidP="4138D473">
            <w:pPr>
              <w:jc w:val="both"/>
              <w:rPr>
                <w:sz w:val="22"/>
                <w:szCs w:val="22"/>
              </w:rPr>
            </w:pPr>
            <w:r w:rsidRPr="00491A41">
              <w:rPr>
                <w:sz w:val="22"/>
                <w:szCs w:val="22"/>
              </w:rPr>
              <w:t xml:space="preserve">Wskazać należy, że po nowelizacji ustawy - Prawo budowlane (brzmienie obowiązujące od dnia 19 września 2020 r. w wyniku wejścia w życie ustawy z dnia 13 lutego 2020 r. o zmianie ustawy - Prawo budowlane oraz niektórych innych ustaw (Dz. U. poz. 471), o istotnym odstąpieniu, o którym mowa w art. 36a ustawy - Prawo budowlane, możemy mówić w odniesieniu </w:t>
            </w:r>
            <w:r w:rsidRPr="00491A41">
              <w:rPr>
                <w:b/>
                <w:sz w:val="22"/>
                <w:szCs w:val="22"/>
              </w:rPr>
              <w:t xml:space="preserve">do zatwierdzonego </w:t>
            </w:r>
            <w:r w:rsidR="005F3DE5" w:rsidRPr="00491A41">
              <w:rPr>
                <w:b/>
                <w:sz w:val="22"/>
                <w:szCs w:val="22"/>
              </w:rPr>
              <w:t>projektu zagospodarowania</w:t>
            </w:r>
            <w:r w:rsidRPr="00491A41">
              <w:rPr>
                <w:b/>
                <w:sz w:val="22"/>
                <w:szCs w:val="22"/>
              </w:rPr>
              <w:t xml:space="preserve"> działki lub terenu oraz projektu architektoniczno-budowlanego</w:t>
            </w:r>
            <w:r w:rsidRPr="00491A41">
              <w:rPr>
                <w:sz w:val="22"/>
                <w:szCs w:val="22"/>
              </w:rPr>
              <w:t xml:space="preserve"> lub innych warunków decyzji o pozwoleniu na budowę. W związku z powyższym proponuje się zmianę zapisu </w:t>
            </w:r>
            <w:r w:rsidRPr="00491A41">
              <w:rPr>
                <w:sz w:val="22"/>
                <w:szCs w:val="22"/>
              </w:rPr>
              <w:br/>
              <w:t>z aktualnego: "od zatwierdzonego projektu budowlanego lub innych warunków pozwolenia na budowę", na zapis: "od zatwierdzonego projektu zagospodarowania działki lub terenu oraz projektu architektoniczno-budowlanego lub innych warunków decyzji o pozwoleniu na budowę".</w:t>
            </w:r>
          </w:p>
        </w:tc>
        <w:tc>
          <w:tcPr>
            <w:tcW w:w="4050" w:type="dxa"/>
            <w:tcBorders>
              <w:top w:val="single" w:sz="4" w:space="0" w:color="auto"/>
              <w:left w:val="single" w:sz="4" w:space="0" w:color="auto"/>
              <w:bottom w:val="single" w:sz="4" w:space="0" w:color="auto"/>
              <w:right w:val="single" w:sz="4" w:space="0" w:color="auto"/>
            </w:tcBorders>
          </w:tcPr>
          <w:p w14:paraId="2511065C" w14:textId="77777777" w:rsidR="007A2043" w:rsidRPr="00491A41" w:rsidRDefault="00BB2FB6" w:rsidP="00BB2FB6">
            <w:pPr>
              <w:rPr>
                <w:bCs/>
                <w:sz w:val="22"/>
                <w:szCs w:val="22"/>
              </w:rPr>
            </w:pPr>
            <w:r w:rsidRPr="00491A41">
              <w:rPr>
                <w:bCs/>
                <w:sz w:val="22"/>
                <w:szCs w:val="22"/>
              </w:rPr>
              <w:t>Uwaga uwzględniona</w:t>
            </w:r>
          </w:p>
        </w:tc>
      </w:tr>
      <w:tr w:rsidR="4138D473" w:rsidRPr="00491A41" w14:paraId="2A3EB9EF"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099FF89B" w14:textId="77777777" w:rsidR="4138D473" w:rsidRPr="00491A41" w:rsidRDefault="4138D473"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591119B7" w14:textId="77777777" w:rsidR="00BD4774" w:rsidRPr="00491A41" w:rsidRDefault="00BD4774" w:rsidP="4138D473">
            <w:pPr>
              <w:pStyle w:val="Tekstpodstawowy"/>
              <w:jc w:val="center"/>
              <w:rPr>
                <w:sz w:val="22"/>
                <w:szCs w:val="22"/>
              </w:rPr>
            </w:pPr>
          </w:p>
          <w:p w14:paraId="00145F4B" w14:textId="4C543175" w:rsidR="31BEBA73" w:rsidRPr="00491A41" w:rsidRDefault="005F3DE5" w:rsidP="4138D473">
            <w:pPr>
              <w:pStyle w:val="Tekstpodstawowy"/>
              <w:jc w:val="center"/>
              <w:rPr>
                <w:sz w:val="22"/>
                <w:szCs w:val="22"/>
              </w:rPr>
            </w:pPr>
            <w:r w:rsidRPr="00491A41">
              <w:rPr>
                <w:sz w:val="22"/>
                <w:szCs w:val="22"/>
              </w:rPr>
              <w:t>Odnośnik</w:t>
            </w:r>
            <w:r w:rsidR="00BD4774" w:rsidRPr="00491A41">
              <w:rPr>
                <w:sz w:val="22"/>
                <w:szCs w:val="22"/>
              </w:rPr>
              <w:t xml:space="preserve"> nr 5</w:t>
            </w:r>
          </w:p>
        </w:tc>
        <w:tc>
          <w:tcPr>
            <w:tcW w:w="933" w:type="dxa"/>
            <w:tcBorders>
              <w:top w:val="single" w:sz="4" w:space="0" w:color="auto"/>
              <w:left w:val="single" w:sz="4" w:space="0" w:color="auto"/>
              <w:bottom w:val="single" w:sz="4" w:space="0" w:color="auto"/>
              <w:right w:val="single" w:sz="4" w:space="0" w:color="auto"/>
            </w:tcBorders>
          </w:tcPr>
          <w:p w14:paraId="2898839C" w14:textId="77777777" w:rsidR="31BEBA73" w:rsidRPr="00491A41" w:rsidRDefault="00BD4774" w:rsidP="4138D473">
            <w:pPr>
              <w:jc w:val="center"/>
              <w:rPr>
                <w:sz w:val="22"/>
                <w:szCs w:val="22"/>
              </w:rPr>
            </w:pPr>
            <w:r w:rsidRPr="00491A41">
              <w:rPr>
                <w:sz w:val="22"/>
                <w:szCs w:val="22"/>
              </w:rPr>
              <w:t>RCL</w:t>
            </w:r>
          </w:p>
        </w:tc>
        <w:tc>
          <w:tcPr>
            <w:tcW w:w="7938" w:type="dxa"/>
            <w:tcBorders>
              <w:top w:val="single" w:sz="4" w:space="0" w:color="auto"/>
              <w:left w:val="single" w:sz="4" w:space="0" w:color="auto"/>
              <w:bottom w:val="single" w:sz="4" w:space="0" w:color="auto"/>
              <w:right w:val="single" w:sz="4" w:space="0" w:color="auto"/>
            </w:tcBorders>
          </w:tcPr>
          <w:p w14:paraId="7DFDB676" w14:textId="77777777" w:rsidR="31BEBA73" w:rsidRPr="00491A41" w:rsidRDefault="00BD4774" w:rsidP="4138D473">
            <w:pPr>
              <w:jc w:val="both"/>
              <w:rPr>
                <w:sz w:val="22"/>
                <w:szCs w:val="22"/>
              </w:rPr>
            </w:pPr>
            <w:r w:rsidRPr="00491A41">
              <w:rPr>
                <w:sz w:val="22"/>
                <w:szCs w:val="22"/>
              </w:rPr>
              <w:t>W odnośniku nr 5 do projektowanego rozporządzenia należałoby powołać art. 66 ustawy z dnia 19 lipca 2019 r. o zapewnianiu dostępności osobom ze szczególnymi potrzebami (Dz. U. z 2020 r. poz. 1062), który czasowo utrzymał w mocy dotychczasowe rozporządzenie, które w przeciwnym razie utraciłoby moc z dniem wejścia w życie ww. ustawy. To ten przepis jest obecnie podstawą obowiązywania dotychczasowych przepisów wykonawczych do dnia 20 września 2022 r. lub do dnia wydania nowego rozporządzenia i to na jego podstawie przepisy te utracą moc we wskazanym terminie. Nie ma tu bezpośredniego związku między utratą mocy przez dotychczasowe przepisy a wejściem w życie ww. ustawy (tylko pośrednio). Ponadto w odnośniku tym wyraz „utraci” proponuje się zastąpić bardziej adekwatnym wyrazem „traci”. Wyrażenie „rozporządzenie… utraci moc” jest adekwatne tylko do czasu poprzedzającego wydanie nowego rozporządzenia, zaś określenie „traci moc” jest bardziej neutralne w stosunku do upływającego czasu.</w:t>
            </w:r>
          </w:p>
        </w:tc>
        <w:tc>
          <w:tcPr>
            <w:tcW w:w="4050" w:type="dxa"/>
            <w:tcBorders>
              <w:top w:val="single" w:sz="4" w:space="0" w:color="auto"/>
              <w:left w:val="single" w:sz="4" w:space="0" w:color="auto"/>
              <w:bottom w:val="single" w:sz="4" w:space="0" w:color="auto"/>
              <w:right w:val="single" w:sz="4" w:space="0" w:color="auto"/>
            </w:tcBorders>
          </w:tcPr>
          <w:p w14:paraId="094DBC97" w14:textId="778BEFC3" w:rsidR="000471F8" w:rsidRPr="00491A41" w:rsidRDefault="000471F8" w:rsidP="000471F8">
            <w:pPr>
              <w:jc w:val="both"/>
              <w:rPr>
                <w:rFonts w:eastAsia="Times New Roman"/>
                <w:sz w:val="22"/>
                <w:szCs w:val="22"/>
              </w:rPr>
            </w:pPr>
            <w:r w:rsidRPr="00491A41">
              <w:rPr>
                <w:rFonts w:eastAsia="Times New Roman"/>
                <w:sz w:val="22"/>
                <w:szCs w:val="22"/>
              </w:rPr>
              <w:t>Uwaga uw</w:t>
            </w:r>
            <w:r w:rsidR="004C73F1">
              <w:rPr>
                <w:rFonts w:eastAsia="Times New Roman"/>
                <w:sz w:val="22"/>
                <w:szCs w:val="22"/>
              </w:rPr>
              <w:t>zględniona</w:t>
            </w:r>
          </w:p>
          <w:p w14:paraId="064899BE" w14:textId="5A71A2C8" w:rsidR="000471F8" w:rsidRPr="00491A41" w:rsidRDefault="000471F8" w:rsidP="000471F8">
            <w:pPr>
              <w:jc w:val="both"/>
              <w:rPr>
                <w:rFonts w:eastAsia="Times New Roman"/>
                <w:sz w:val="22"/>
                <w:szCs w:val="22"/>
              </w:rPr>
            </w:pPr>
          </w:p>
        </w:tc>
      </w:tr>
      <w:tr w:rsidR="00351170" w:rsidRPr="00491A41" w14:paraId="2ECB0AB8"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436FCA3C" w14:textId="77777777" w:rsidR="00351170" w:rsidRPr="00491A41" w:rsidRDefault="00351170"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32AE336B" w14:textId="77777777" w:rsidR="00351170" w:rsidRPr="00491A41" w:rsidRDefault="00351170" w:rsidP="4138D473">
            <w:pPr>
              <w:pStyle w:val="Tekstpodstawowy"/>
              <w:jc w:val="center"/>
              <w:rPr>
                <w:sz w:val="22"/>
                <w:szCs w:val="22"/>
              </w:rPr>
            </w:pPr>
            <w:r w:rsidRPr="00491A41">
              <w:rPr>
                <w:sz w:val="22"/>
                <w:szCs w:val="22"/>
              </w:rPr>
              <w:t xml:space="preserve"> Załącznik nr 1 rozdz. I ust. 1 pkt 3 </w:t>
            </w:r>
            <w:r w:rsidRPr="00491A41">
              <w:rPr>
                <w:sz w:val="22"/>
                <w:szCs w:val="22"/>
              </w:rPr>
              <w:lastRenderedPageBreak/>
              <w:t>kolumna pierwsza</w:t>
            </w:r>
          </w:p>
        </w:tc>
        <w:tc>
          <w:tcPr>
            <w:tcW w:w="933" w:type="dxa"/>
            <w:tcBorders>
              <w:top w:val="single" w:sz="4" w:space="0" w:color="auto"/>
              <w:left w:val="single" w:sz="4" w:space="0" w:color="auto"/>
              <w:bottom w:val="single" w:sz="4" w:space="0" w:color="auto"/>
              <w:right w:val="single" w:sz="4" w:space="0" w:color="auto"/>
            </w:tcBorders>
          </w:tcPr>
          <w:p w14:paraId="5FF75E9E" w14:textId="77777777" w:rsidR="00351170" w:rsidRPr="00491A41" w:rsidRDefault="00351170" w:rsidP="4138D473">
            <w:pPr>
              <w:jc w:val="center"/>
              <w:rPr>
                <w:sz w:val="22"/>
                <w:szCs w:val="22"/>
              </w:rPr>
            </w:pPr>
            <w:r w:rsidRPr="00491A41">
              <w:rPr>
                <w:sz w:val="22"/>
                <w:szCs w:val="22"/>
              </w:rPr>
              <w:lastRenderedPageBreak/>
              <w:t>MI</w:t>
            </w:r>
          </w:p>
        </w:tc>
        <w:tc>
          <w:tcPr>
            <w:tcW w:w="7938" w:type="dxa"/>
            <w:tcBorders>
              <w:top w:val="single" w:sz="4" w:space="0" w:color="auto"/>
              <w:left w:val="single" w:sz="4" w:space="0" w:color="auto"/>
              <w:bottom w:val="single" w:sz="4" w:space="0" w:color="auto"/>
              <w:right w:val="single" w:sz="4" w:space="0" w:color="auto"/>
            </w:tcBorders>
          </w:tcPr>
          <w:p w14:paraId="2FF5CFEE" w14:textId="77777777" w:rsidR="00351170" w:rsidRPr="00491A41" w:rsidRDefault="00351170" w:rsidP="00351170">
            <w:pPr>
              <w:jc w:val="both"/>
              <w:rPr>
                <w:sz w:val="22"/>
                <w:szCs w:val="22"/>
              </w:rPr>
            </w:pPr>
            <w:r w:rsidRPr="00491A41">
              <w:rPr>
                <w:sz w:val="22"/>
                <w:szCs w:val="22"/>
              </w:rPr>
              <w:t>zastąpienie użytych pojęć:</w:t>
            </w:r>
          </w:p>
          <w:p w14:paraId="0436B2F5" w14:textId="77777777" w:rsidR="00351170" w:rsidRPr="00491A41" w:rsidRDefault="00351170" w:rsidP="00351170">
            <w:pPr>
              <w:jc w:val="both"/>
              <w:rPr>
                <w:i/>
                <w:sz w:val="22"/>
                <w:szCs w:val="22"/>
              </w:rPr>
            </w:pPr>
            <w:r w:rsidRPr="00491A41">
              <w:rPr>
                <w:i/>
                <w:sz w:val="22"/>
                <w:szCs w:val="22"/>
              </w:rPr>
              <w:t xml:space="preserve">Pas rozdzielający </w:t>
            </w:r>
            <w:r w:rsidRPr="00491A41">
              <w:rPr>
                <w:sz w:val="22"/>
                <w:szCs w:val="22"/>
              </w:rPr>
              <w:t>na</w:t>
            </w:r>
            <w:r w:rsidRPr="00491A41">
              <w:rPr>
                <w:i/>
                <w:sz w:val="22"/>
                <w:szCs w:val="22"/>
              </w:rPr>
              <w:t xml:space="preserve"> Pas dzielący</w:t>
            </w:r>
          </w:p>
          <w:p w14:paraId="417C1E25" w14:textId="77777777" w:rsidR="00351170" w:rsidRPr="00491A41" w:rsidRDefault="00351170" w:rsidP="00351170">
            <w:pPr>
              <w:jc w:val="both"/>
              <w:rPr>
                <w:i/>
                <w:sz w:val="22"/>
                <w:szCs w:val="22"/>
              </w:rPr>
            </w:pPr>
            <w:r w:rsidRPr="00491A41">
              <w:rPr>
                <w:i/>
                <w:sz w:val="22"/>
                <w:szCs w:val="22"/>
              </w:rPr>
              <w:t xml:space="preserve">Pas poza rowem odwadniającym </w:t>
            </w:r>
            <w:r w:rsidRPr="00491A41">
              <w:rPr>
                <w:sz w:val="22"/>
                <w:szCs w:val="22"/>
              </w:rPr>
              <w:t>na</w:t>
            </w:r>
            <w:r w:rsidRPr="00491A41">
              <w:rPr>
                <w:i/>
                <w:sz w:val="22"/>
                <w:szCs w:val="22"/>
              </w:rPr>
              <w:t xml:space="preserve"> Pas zieleni</w:t>
            </w:r>
          </w:p>
          <w:p w14:paraId="519D53AC" w14:textId="77777777" w:rsidR="00351170" w:rsidRPr="00491A41" w:rsidRDefault="00351170" w:rsidP="00351170">
            <w:pPr>
              <w:jc w:val="both"/>
              <w:rPr>
                <w:sz w:val="22"/>
                <w:szCs w:val="22"/>
              </w:rPr>
            </w:pPr>
            <w:r w:rsidRPr="00491A41">
              <w:rPr>
                <w:sz w:val="22"/>
                <w:szCs w:val="22"/>
              </w:rPr>
              <w:t>Użyte sformułowania są niezgodne z przepisami rozporządzenia w sprawie warunków technicznych, jakim powinny odpowiadać drogi publiczne i ich usytuowanie</w:t>
            </w:r>
          </w:p>
          <w:p w14:paraId="1B9FCC59" w14:textId="77777777" w:rsidR="00351170" w:rsidRPr="00491A41" w:rsidRDefault="00351170" w:rsidP="00351170">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5C6F2428" w14:textId="77777777" w:rsidR="00351170" w:rsidRPr="00491A41" w:rsidRDefault="00DC115F" w:rsidP="2531BF8E">
            <w:pPr>
              <w:jc w:val="both"/>
              <w:rPr>
                <w:rFonts w:eastAsia="Times New Roman"/>
                <w:sz w:val="22"/>
                <w:szCs w:val="22"/>
              </w:rPr>
            </w:pPr>
            <w:r w:rsidRPr="00491A41">
              <w:rPr>
                <w:rFonts w:eastAsia="Times New Roman"/>
                <w:sz w:val="22"/>
                <w:szCs w:val="22"/>
              </w:rPr>
              <w:t>Uwaga uwzględniona</w:t>
            </w:r>
          </w:p>
        </w:tc>
      </w:tr>
      <w:tr w:rsidR="00351170" w:rsidRPr="00491A41" w14:paraId="4C18204A"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3E66F5CF" w14:textId="77777777" w:rsidR="00351170" w:rsidRPr="00491A41" w:rsidRDefault="00351170"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0EF0CC30" w14:textId="77777777" w:rsidR="00351170" w:rsidRPr="00491A41" w:rsidRDefault="005053A0" w:rsidP="4138D473">
            <w:pPr>
              <w:pStyle w:val="Tekstpodstawowy"/>
              <w:jc w:val="center"/>
              <w:rPr>
                <w:sz w:val="22"/>
                <w:szCs w:val="22"/>
              </w:rPr>
            </w:pPr>
            <w:r w:rsidRPr="00491A41">
              <w:rPr>
                <w:sz w:val="22"/>
                <w:szCs w:val="22"/>
              </w:rPr>
              <w:t xml:space="preserve"> Załącznik</w:t>
            </w:r>
            <w:r w:rsidR="00351170" w:rsidRPr="00491A41">
              <w:rPr>
                <w:sz w:val="22"/>
                <w:szCs w:val="22"/>
              </w:rPr>
              <w:t xml:space="preserve"> nr 1 rozdz. I ust. 2 pkt 1 kolumna pierwsza</w:t>
            </w:r>
          </w:p>
        </w:tc>
        <w:tc>
          <w:tcPr>
            <w:tcW w:w="933" w:type="dxa"/>
            <w:tcBorders>
              <w:top w:val="single" w:sz="4" w:space="0" w:color="auto"/>
              <w:left w:val="single" w:sz="4" w:space="0" w:color="auto"/>
              <w:bottom w:val="single" w:sz="4" w:space="0" w:color="auto"/>
              <w:right w:val="single" w:sz="4" w:space="0" w:color="auto"/>
            </w:tcBorders>
          </w:tcPr>
          <w:p w14:paraId="46D5F393" w14:textId="77777777" w:rsidR="00351170" w:rsidRPr="00491A41" w:rsidRDefault="00351170"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18EE39B4" w14:textId="77777777" w:rsidR="00351170" w:rsidRPr="00491A41" w:rsidRDefault="00351170" w:rsidP="00351170">
            <w:pPr>
              <w:jc w:val="both"/>
              <w:rPr>
                <w:sz w:val="22"/>
                <w:szCs w:val="22"/>
              </w:rPr>
            </w:pPr>
            <w:r w:rsidRPr="00491A41">
              <w:rPr>
                <w:sz w:val="22"/>
                <w:szCs w:val="22"/>
              </w:rPr>
              <w:t>zastąpienie użytego pojęcia:</w:t>
            </w:r>
          </w:p>
          <w:p w14:paraId="06286611" w14:textId="77777777" w:rsidR="00351170" w:rsidRPr="00491A41" w:rsidRDefault="00351170" w:rsidP="00351170">
            <w:pPr>
              <w:jc w:val="both"/>
              <w:rPr>
                <w:i/>
                <w:sz w:val="22"/>
                <w:szCs w:val="22"/>
              </w:rPr>
            </w:pPr>
            <w:r w:rsidRPr="00491A41">
              <w:rPr>
                <w:i/>
                <w:sz w:val="22"/>
                <w:szCs w:val="22"/>
              </w:rPr>
              <w:t>Chodnik i inne utwardzone elementy drogi</w:t>
            </w:r>
            <w:r w:rsidRPr="00491A41">
              <w:rPr>
                <w:sz w:val="22"/>
                <w:szCs w:val="22"/>
              </w:rPr>
              <w:t xml:space="preserve"> na </w:t>
            </w:r>
            <w:r w:rsidRPr="00491A41">
              <w:rPr>
                <w:i/>
                <w:sz w:val="22"/>
                <w:szCs w:val="22"/>
              </w:rPr>
              <w:t>Części drogi o nawierzchni twardej niebędące jezdnią</w:t>
            </w:r>
          </w:p>
          <w:p w14:paraId="56E04C14" w14:textId="77777777" w:rsidR="00351170" w:rsidRPr="00491A41" w:rsidRDefault="00351170" w:rsidP="4138D473">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75D3740D" w14:textId="77777777" w:rsidR="00351170" w:rsidRPr="00491A41" w:rsidRDefault="00DC115F" w:rsidP="2531BF8E">
            <w:pPr>
              <w:jc w:val="both"/>
              <w:rPr>
                <w:rFonts w:eastAsia="Times New Roman"/>
                <w:sz w:val="22"/>
                <w:szCs w:val="22"/>
              </w:rPr>
            </w:pPr>
            <w:r w:rsidRPr="00491A41">
              <w:rPr>
                <w:rFonts w:eastAsia="Times New Roman"/>
                <w:sz w:val="22"/>
                <w:szCs w:val="22"/>
              </w:rPr>
              <w:t>Uwaga uwzględniona</w:t>
            </w:r>
          </w:p>
        </w:tc>
      </w:tr>
      <w:tr w:rsidR="00351170" w:rsidRPr="00491A41" w14:paraId="35E34EB4"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549BA39A" w14:textId="77777777" w:rsidR="00351170" w:rsidRPr="00491A41" w:rsidRDefault="00351170"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71E03A49" w14:textId="77777777" w:rsidR="00351170" w:rsidRPr="00491A41" w:rsidRDefault="005053A0" w:rsidP="4138D473">
            <w:pPr>
              <w:pStyle w:val="Tekstpodstawowy"/>
              <w:jc w:val="center"/>
              <w:rPr>
                <w:sz w:val="22"/>
                <w:szCs w:val="22"/>
              </w:rPr>
            </w:pPr>
            <w:r w:rsidRPr="00491A41">
              <w:rPr>
                <w:sz w:val="22"/>
                <w:szCs w:val="22"/>
              </w:rPr>
              <w:t xml:space="preserve"> Załącznik</w:t>
            </w:r>
            <w:r w:rsidR="00351170" w:rsidRPr="00491A41">
              <w:rPr>
                <w:sz w:val="22"/>
                <w:szCs w:val="22"/>
              </w:rPr>
              <w:t xml:space="preserve"> nr 1 rozdz. I ust. 3</w:t>
            </w:r>
          </w:p>
        </w:tc>
        <w:tc>
          <w:tcPr>
            <w:tcW w:w="933" w:type="dxa"/>
            <w:tcBorders>
              <w:top w:val="single" w:sz="4" w:space="0" w:color="auto"/>
              <w:left w:val="single" w:sz="4" w:space="0" w:color="auto"/>
              <w:bottom w:val="single" w:sz="4" w:space="0" w:color="auto"/>
              <w:right w:val="single" w:sz="4" w:space="0" w:color="auto"/>
            </w:tcBorders>
          </w:tcPr>
          <w:p w14:paraId="4228FF93" w14:textId="77777777" w:rsidR="00351170" w:rsidRPr="00491A41" w:rsidRDefault="00351170" w:rsidP="4138D473">
            <w:pPr>
              <w:jc w:val="center"/>
              <w:rPr>
                <w:sz w:val="22"/>
                <w:szCs w:val="22"/>
              </w:rPr>
            </w:pPr>
          </w:p>
        </w:tc>
        <w:tc>
          <w:tcPr>
            <w:tcW w:w="7938" w:type="dxa"/>
            <w:tcBorders>
              <w:top w:val="single" w:sz="4" w:space="0" w:color="auto"/>
              <w:left w:val="single" w:sz="4" w:space="0" w:color="auto"/>
              <w:bottom w:val="single" w:sz="4" w:space="0" w:color="auto"/>
              <w:right w:val="single" w:sz="4" w:space="0" w:color="auto"/>
            </w:tcBorders>
          </w:tcPr>
          <w:p w14:paraId="39E18A63" w14:textId="77777777" w:rsidR="00351170" w:rsidRPr="00491A41" w:rsidRDefault="00351170" w:rsidP="00351170">
            <w:pPr>
              <w:jc w:val="both"/>
              <w:rPr>
                <w:sz w:val="22"/>
                <w:szCs w:val="22"/>
              </w:rPr>
            </w:pPr>
            <w:r w:rsidRPr="00491A41">
              <w:rPr>
                <w:b/>
                <w:sz w:val="22"/>
                <w:szCs w:val="22"/>
              </w:rPr>
              <w:t>w Załączniku nr 1 rozdz. I ust. 3 o</w:t>
            </w:r>
            <w:r w:rsidRPr="00491A41">
              <w:rPr>
                <w:sz w:val="22"/>
                <w:szCs w:val="22"/>
              </w:rPr>
              <w:t>kreślającym usytuowanie i zabezpieczenie telekomunikacyjnych obiektów budowlanych z linią kolejową, wnoszę o:</w:t>
            </w:r>
          </w:p>
          <w:p w14:paraId="1C86C598" w14:textId="7FCEB6D3" w:rsidR="00351170" w:rsidRPr="00491A41" w:rsidRDefault="00351170" w:rsidP="00351170">
            <w:pPr>
              <w:numPr>
                <w:ilvl w:val="0"/>
                <w:numId w:val="45"/>
              </w:numPr>
              <w:jc w:val="both"/>
              <w:rPr>
                <w:bCs/>
                <w:sz w:val="22"/>
                <w:szCs w:val="22"/>
              </w:rPr>
            </w:pPr>
            <w:r w:rsidRPr="00491A41">
              <w:rPr>
                <w:bCs/>
                <w:sz w:val="22"/>
                <w:szCs w:val="22"/>
              </w:rPr>
              <w:t>dostosowanie pojęć użytych w tabeli umieszczonej w ust. 3 w pkt 3 do terminologii używanej w ustawie z dnia 28 marca 2003 r. o transporcie kolejowym Dz. U. z 2020 r. poz. 1043, 1378 i 1778 oraz z 2021 r. poz. 780 i 784) oraz nadanie tabeli um</w:t>
            </w:r>
            <w:r w:rsidR="00502C26">
              <w:rPr>
                <w:bCs/>
                <w:sz w:val="22"/>
                <w:szCs w:val="22"/>
              </w:rPr>
              <w:t xml:space="preserve">ieszczonej w części I w ust. 3 </w:t>
            </w:r>
            <w:r w:rsidRPr="00491A41">
              <w:rPr>
                <w:bCs/>
                <w:sz w:val="22"/>
                <w:szCs w:val="22"/>
              </w:rPr>
              <w:t>w pkt 1 następującego brzmienia:</w:t>
            </w:r>
          </w:p>
          <w:tbl>
            <w:tblPr>
              <w:tblpPr w:leftFromText="141" w:rightFromText="141" w:vertAnchor="text" w:horzAnchor="margin" w:tblpX="152" w:tblpY="94"/>
              <w:tblW w:w="7503" w:type="dxa"/>
              <w:tblLayout w:type="fixed"/>
              <w:tblCellMar>
                <w:left w:w="0" w:type="dxa"/>
                <w:right w:w="0" w:type="dxa"/>
              </w:tblCellMar>
              <w:tblLook w:val="0000" w:firstRow="0" w:lastRow="0" w:firstColumn="0" w:lastColumn="0" w:noHBand="0" w:noVBand="0"/>
            </w:tblPr>
            <w:tblGrid>
              <w:gridCol w:w="1135"/>
              <w:gridCol w:w="992"/>
              <w:gridCol w:w="992"/>
              <w:gridCol w:w="851"/>
              <w:gridCol w:w="709"/>
              <w:gridCol w:w="992"/>
              <w:gridCol w:w="1832"/>
            </w:tblGrid>
            <w:tr w:rsidR="006514FD" w:rsidRPr="00491A41" w14:paraId="67700055" w14:textId="77777777" w:rsidTr="006514FD">
              <w:trPr>
                <w:trHeight w:val="1033"/>
              </w:trPr>
              <w:tc>
                <w:tcPr>
                  <w:tcW w:w="1135" w:type="dxa"/>
                  <w:tcBorders>
                    <w:top w:val="single" w:sz="8" w:space="0" w:color="auto"/>
                    <w:left w:val="single" w:sz="8" w:space="0" w:color="auto"/>
                    <w:bottom w:val="double" w:sz="4" w:space="0" w:color="auto"/>
                    <w:right w:val="single" w:sz="8" w:space="0" w:color="auto"/>
                  </w:tcBorders>
                  <w:vAlign w:val="center"/>
                </w:tcPr>
                <w:p w14:paraId="79571296" w14:textId="77777777" w:rsidR="00112975" w:rsidRPr="00491A41" w:rsidRDefault="00112975" w:rsidP="00112975">
                  <w:pPr>
                    <w:spacing w:line="360" w:lineRule="auto"/>
                    <w:ind w:left="180"/>
                    <w:jc w:val="center"/>
                    <w:rPr>
                      <w:rFonts w:eastAsia="Arial"/>
                      <w:sz w:val="22"/>
                      <w:szCs w:val="22"/>
                    </w:rPr>
                  </w:pPr>
                  <w:r w:rsidRPr="00491A41">
                    <w:rPr>
                      <w:rFonts w:eastAsia="Arial"/>
                      <w:sz w:val="22"/>
                      <w:szCs w:val="22"/>
                    </w:rPr>
                    <w:t>Część linii kolejowej lub element infrastruktury kolejowej</w:t>
                  </w:r>
                </w:p>
              </w:tc>
              <w:tc>
                <w:tcPr>
                  <w:tcW w:w="992" w:type="dxa"/>
                  <w:tcBorders>
                    <w:top w:val="single" w:sz="8" w:space="0" w:color="auto"/>
                    <w:left w:val="single" w:sz="8" w:space="0" w:color="auto"/>
                    <w:bottom w:val="double" w:sz="4" w:space="0" w:color="auto"/>
                    <w:right w:val="single" w:sz="8" w:space="0" w:color="auto"/>
                  </w:tcBorders>
                  <w:vAlign w:val="center"/>
                </w:tcPr>
                <w:p w14:paraId="1C70F171" w14:textId="77777777" w:rsidR="00112975" w:rsidRPr="00491A41" w:rsidRDefault="00112975" w:rsidP="00112975">
                  <w:pPr>
                    <w:spacing w:line="360" w:lineRule="auto"/>
                    <w:ind w:left="180"/>
                    <w:jc w:val="center"/>
                    <w:rPr>
                      <w:sz w:val="22"/>
                      <w:szCs w:val="22"/>
                    </w:rPr>
                  </w:pPr>
                </w:p>
                <w:p w14:paraId="33EB33B9" w14:textId="77777777" w:rsidR="00112975" w:rsidRPr="00491A41" w:rsidRDefault="00112975" w:rsidP="00112975">
                  <w:pPr>
                    <w:spacing w:line="360" w:lineRule="auto"/>
                    <w:ind w:left="180"/>
                    <w:jc w:val="center"/>
                    <w:rPr>
                      <w:rFonts w:eastAsia="Arial"/>
                      <w:sz w:val="22"/>
                      <w:szCs w:val="22"/>
                    </w:rPr>
                  </w:pPr>
                  <w:r w:rsidRPr="00491A41">
                    <w:rPr>
                      <w:sz w:val="22"/>
                      <w:szCs w:val="22"/>
                    </w:rPr>
                    <w:t>Punkt odniesienia</w:t>
                  </w:r>
                </w:p>
              </w:tc>
              <w:tc>
                <w:tcPr>
                  <w:tcW w:w="992" w:type="dxa"/>
                  <w:tcBorders>
                    <w:top w:val="single" w:sz="8" w:space="0" w:color="auto"/>
                    <w:bottom w:val="double" w:sz="4" w:space="0" w:color="auto"/>
                    <w:right w:val="single" w:sz="8" w:space="0" w:color="auto"/>
                  </w:tcBorders>
                  <w:shd w:val="clear" w:color="auto" w:fill="auto"/>
                  <w:vAlign w:val="center"/>
                </w:tcPr>
                <w:p w14:paraId="612C1879" w14:textId="77777777" w:rsidR="00112975" w:rsidRPr="00491A41" w:rsidRDefault="00112975" w:rsidP="00112975">
                  <w:pPr>
                    <w:spacing w:line="360" w:lineRule="auto"/>
                    <w:jc w:val="center"/>
                    <w:rPr>
                      <w:rFonts w:eastAsia="Arial"/>
                      <w:sz w:val="22"/>
                      <w:szCs w:val="22"/>
                    </w:rPr>
                  </w:pPr>
                  <w:r w:rsidRPr="00491A41">
                    <w:rPr>
                      <w:rFonts w:eastAsia="Arial"/>
                      <w:w w:val="90"/>
                      <w:sz w:val="22"/>
                      <w:szCs w:val="22"/>
                    </w:rPr>
                    <w:t xml:space="preserve">Odległość </w:t>
                  </w:r>
                  <w:r w:rsidRPr="00491A41">
                    <w:rPr>
                      <w:rFonts w:eastAsia="Arial"/>
                      <w:sz w:val="22"/>
                      <w:szCs w:val="22"/>
                    </w:rPr>
                    <w:t>podstawowa</w:t>
                  </w:r>
                </w:p>
                <w:p w14:paraId="73B3B2BF" w14:textId="77777777" w:rsidR="00112975" w:rsidRPr="00491A41" w:rsidRDefault="00112975" w:rsidP="00112975">
                  <w:pPr>
                    <w:spacing w:line="360" w:lineRule="auto"/>
                    <w:jc w:val="center"/>
                    <w:rPr>
                      <w:rFonts w:eastAsia="Arial"/>
                      <w:w w:val="90"/>
                      <w:sz w:val="22"/>
                      <w:szCs w:val="22"/>
                    </w:rPr>
                  </w:pPr>
                  <w:r w:rsidRPr="00491A41">
                    <w:rPr>
                      <w:rFonts w:eastAsia="Arial"/>
                      <w:sz w:val="22"/>
                      <w:szCs w:val="22"/>
                    </w:rPr>
                    <w:t>[m]</w:t>
                  </w:r>
                </w:p>
              </w:tc>
              <w:tc>
                <w:tcPr>
                  <w:tcW w:w="851" w:type="dxa"/>
                  <w:tcBorders>
                    <w:top w:val="single" w:sz="8" w:space="0" w:color="auto"/>
                    <w:bottom w:val="double" w:sz="4" w:space="0" w:color="auto"/>
                    <w:right w:val="single" w:sz="4" w:space="0" w:color="auto"/>
                  </w:tcBorders>
                  <w:vAlign w:val="center"/>
                </w:tcPr>
                <w:p w14:paraId="4FDD2C97" w14:textId="77777777" w:rsidR="00112975" w:rsidRPr="00491A41" w:rsidRDefault="00112975" w:rsidP="00112975">
                  <w:pPr>
                    <w:spacing w:line="360" w:lineRule="auto"/>
                    <w:jc w:val="center"/>
                    <w:rPr>
                      <w:sz w:val="22"/>
                      <w:szCs w:val="22"/>
                    </w:rPr>
                  </w:pPr>
                </w:p>
                <w:p w14:paraId="73048993" w14:textId="77777777" w:rsidR="00112975" w:rsidRPr="00491A41" w:rsidRDefault="00112975" w:rsidP="00112975">
                  <w:pPr>
                    <w:spacing w:line="360" w:lineRule="auto"/>
                    <w:jc w:val="center"/>
                    <w:rPr>
                      <w:rFonts w:eastAsia="Arial"/>
                      <w:w w:val="92"/>
                      <w:sz w:val="22"/>
                      <w:szCs w:val="22"/>
                    </w:rPr>
                  </w:pPr>
                  <w:r w:rsidRPr="00491A41">
                    <w:rPr>
                      <w:sz w:val="22"/>
                      <w:szCs w:val="22"/>
                    </w:rPr>
                    <w:t>Punkt odniesienia</w:t>
                  </w:r>
                </w:p>
              </w:tc>
              <w:tc>
                <w:tcPr>
                  <w:tcW w:w="709" w:type="dxa"/>
                  <w:tcBorders>
                    <w:top w:val="single" w:sz="8" w:space="0" w:color="auto"/>
                    <w:left w:val="single" w:sz="4" w:space="0" w:color="auto"/>
                    <w:bottom w:val="double" w:sz="4" w:space="0" w:color="auto"/>
                    <w:right w:val="single" w:sz="8" w:space="0" w:color="auto"/>
                  </w:tcBorders>
                  <w:shd w:val="clear" w:color="auto" w:fill="auto"/>
                  <w:vAlign w:val="center"/>
                </w:tcPr>
                <w:p w14:paraId="101EBBC0" w14:textId="77777777" w:rsidR="00112975" w:rsidRPr="00491A41" w:rsidRDefault="00112975" w:rsidP="00112975">
                  <w:pPr>
                    <w:spacing w:line="360" w:lineRule="auto"/>
                    <w:jc w:val="center"/>
                    <w:rPr>
                      <w:rFonts w:eastAsia="Arial"/>
                      <w:sz w:val="22"/>
                      <w:szCs w:val="22"/>
                    </w:rPr>
                  </w:pPr>
                  <w:r w:rsidRPr="00491A41">
                    <w:rPr>
                      <w:rFonts w:eastAsia="Arial"/>
                      <w:w w:val="92"/>
                      <w:sz w:val="22"/>
                      <w:szCs w:val="22"/>
                    </w:rPr>
                    <w:t xml:space="preserve">Głębokość </w:t>
                  </w:r>
                  <w:r w:rsidRPr="00491A41">
                    <w:rPr>
                      <w:rFonts w:eastAsia="Arial"/>
                      <w:sz w:val="22"/>
                      <w:szCs w:val="22"/>
                    </w:rPr>
                    <w:t>podstawowa</w:t>
                  </w:r>
                </w:p>
                <w:p w14:paraId="0615653C" w14:textId="77777777" w:rsidR="00112975" w:rsidRPr="00491A41" w:rsidRDefault="00112975" w:rsidP="00112975">
                  <w:pPr>
                    <w:spacing w:line="360" w:lineRule="auto"/>
                    <w:jc w:val="center"/>
                    <w:rPr>
                      <w:rFonts w:eastAsia="Arial"/>
                      <w:w w:val="92"/>
                      <w:sz w:val="22"/>
                      <w:szCs w:val="22"/>
                    </w:rPr>
                  </w:pPr>
                  <w:r w:rsidRPr="00491A41">
                    <w:rPr>
                      <w:rFonts w:eastAsia="Arial"/>
                      <w:sz w:val="22"/>
                      <w:szCs w:val="22"/>
                    </w:rPr>
                    <w:t>[m]</w:t>
                  </w:r>
                </w:p>
              </w:tc>
              <w:tc>
                <w:tcPr>
                  <w:tcW w:w="992" w:type="dxa"/>
                  <w:tcBorders>
                    <w:top w:val="single" w:sz="8" w:space="0" w:color="auto"/>
                    <w:bottom w:val="double" w:sz="4" w:space="0" w:color="auto"/>
                    <w:right w:val="single" w:sz="8" w:space="0" w:color="auto"/>
                  </w:tcBorders>
                  <w:shd w:val="clear" w:color="auto" w:fill="auto"/>
                  <w:vAlign w:val="center"/>
                </w:tcPr>
                <w:p w14:paraId="7DD94FE9" w14:textId="77777777" w:rsidR="00112975" w:rsidRPr="00491A41" w:rsidRDefault="00112975" w:rsidP="00112975">
                  <w:pPr>
                    <w:spacing w:line="360" w:lineRule="auto"/>
                    <w:jc w:val="center"/>
                    <w:rPr>
                      <w:rFonts w:eastAsia="Arial"/>
                      <w:sz w:val="22"/>
                      <w:szCs w:val="22"/>
                    </w:rPr>
                  </w:pPr>
                  <w:r w:rsidRPr="00491A41">
                    <w:rPr>
                      <w:rFonts w:eastAsia="Arial"/>
                      <w:sz w:val="22"/>
                      <w:szCs w:val="22"/>
                    </w:rPr>
                    <w:t>Zabezpieczenie</w:t>
                  </w:r>
                </w:p>
                <w:p w14:paraId="14DBA8CA" w14:textId="77777777" w:rsidR="00112975" w:rsidRPr="00491A41" w:rsidRDefault="00112975" w:rsidP="00112975">
                  <w:pPr>
                    <w:spacing w:line="360" w:lineRule="auto"/>
                    <w:jc w:val="center"/>
                    <w:rPr>
                      <w:rFonts w:eastAsia="Arial"/>
                      <w:sz w:val="22"/>
                      <w:szCs w:val="22"/>
                    </w:rPr>
                  </w:pPr>
                  <w:r w:rsidRPr="00491A41">
                    <w:rPr>
                      <w:rFonts w:eastAsia="Arial"/>
                      <w:sz w:val="22"/>
                      <w:szCs w:val="22"/>
                    </w:rPr>
                    <w:t>specjalne</w:t>
                  </w:r>
                </w:p>
              </w:tc>
              <w:tc>
                <w:tcPr>
                  <w:tcW w:w="1832" w:type="dxa"/>
                  <w:tcBorders>
                    <w:top w:val="single" w:sz="8" w:space="0" w:color="auto"/>
                    <w:bottom w:val="double" w:sz="4" w:space="0" w:color="auto"/>
                    <w:right w:val="single" w:sz="8" w:space="0" w:color="auto"/>
                  </w:tcBorders>
                  <w:shd w:val="clear" w:color="auto" w:fill="auto"/>
                  <w:vAlign w:val="center"/>
                </w:tcPr>
                <w:p w14:paraId="49E70CB2" w14:textId="77777777" w:rsidR="00112975" w:rsidRPr="00491A41" w:rsidRDefault="00112975" w:rsidP="00112975">
                  <w:pPr>
                    <w:spacing w:line="360" w:lineRule="auto"/>
                    <w:jc w:val="center"/>
                    <w:rPr>
                      <w:rFonts w:eastAsia="Arial"/>
                      <w:sz w:val="22"/>
                      <w:szCs w:val="22"/>
                    </w:rPr>
                  </w:pPr>
                  <w:r w:rsidRPr="00491A41">
                    <w:rPr>
                      <w:rFonts w:eastAsia="Arial"/>
                      <w:sz w:val="22"/>
                      <w:szCs w:val="22"/>
                    </w:rPr>
                    <w:t>Zabezpieczenie</w:t>
                  </w:r>
                </w:p>
                <w:p w14:paraId="3FDEF529" w14:textId="77777777" w:rsidR="00112975" w:rsidRPr="00491A41" w:rsidRDefault="00112975" w:rsidP="00112975">
                  <w:pPr>
                    <w:spacing w:line="360" w:lineRule="auto"/>
                    <w:jc w:val="center"/>
                    <w:rPr>
                      <w:rFonts w:eastAsia="Arial"/>
                      <w:sz w:val="22"/>
                      <w:szCs w:val="22"/>
                    </w:rPr>
                  </w:pPr>
                  <w:r w:rsidRPr="00491A41">
                    <w:rPr>
                      <w:rFonts w:eastAsia="Arial"/>
                      <w:sz w:val="22"/>
                      <w:szCs w:val="22"/>
                    </w:rPr>
                    <w:t>szczególne</w:t>
                  </w:r>
                </w:p>
              </w:tc>
            </w:tr>
            <w:tr w:rsidR="006514FD" w:rsidRPr="00491A41" w14:paraId="40BA8BC0" w14:textId="77777777" w:rsidTr="006514FD">
              <w:trPr>
                <w:trHeight w:val="784"/>
              </w:trPr>
              <w:tc>
                <w:tcPr>
                  <w:tcW w:w="1135" w:type="dxa"/>
                  <w:tcBorders>
                    <w:top w:val="double" w:sz="4" w:space="0" w:color="auto"/>
                    <w:left w:val="single" w:sz="8" w:space="0" w:color="auto"/>
                    <w:bottom w:val="single" w:sz="4" w:space="0" w:color="auto"/>
                    <w:right w:val="single" w:sz="8" w:space="0" w:color="auto"/>
                  </w:tcBorders>
                  <w:vAlign w:val="center"/>
                </w:tcPr>
                <w:p w14:paraId="4EC99FEF" w14:textId="77777777" w:rsidR="00112975" w:rsidRPr="00491A41" w:rsidRDefault="00112975" w:rsidP="00112975">
                  <w:pPr>
                    <w:spacing w:line="360" w:lineRule="auto"/>
                    <w:ind w:left="100"/>
                    <w:jc w:val="center"/>
                    <w:rPr>
                      <w:rFonts w:eastAsia="Arial"/>
                      <w:sz w:val="22"/>
                      <w:szCs w:val="22"/>
                    </w:rPr>
                  </w:pPr>
                  <w:r w:rsidRPr="00491A41">
                    <w:rPr>
                      <w:rFonts w:eastAsia="Arial"/>
                      <w:sz w:val="22"/>
                      <w:szCs w:val="22"/>
                    </w:rPr>
                    <w:t>Tory kolejowe</w:t>
                  </w:r>
                </w:p>
              </w:tc>
              <w:tc>
                <w:tcPr>
                  <w:tcW w:w="992" w:type="dxa"/>
                  <w:tcBorders>
                    <w:top w:val="double" w:sz="4" w:space="0" w:color="auto"/>
                    <w:left w:val="single" w:sz="8" w:space="0" w:color="auto"/>
                    <w:bottom w:val="single" w:sz="4" w:space="0" w:color="auto"/>
                    <w:right w:val="single" w:sz="8" w:space="0" w:color="auto"/>
                  </w:tcBorders>
                  <w:vAlign w:val="center"/>
                </w:tcPr>
                <w:p w14:paraId="2809729C" w14:textId="77777777" w:rsidR="00112975" w:rsidRPr="00491A41" w:rsidRDefault="00112975" w:rsidP="00112975">
                  <w:pPr>
                    <w:spacing w:line="360" w:lineRule="auto"/>
                    <w:ind w:left="100"/>
                    <w:jc w:val="center"/>
                    <w:rPr>
                      <w:rFonts w:eastAsia="Arial"/>
                      <w:sz w:val="22"/>
                      <w:szCs w:val="22"/>
                    </w:rPr>
                  </w:pPr>
                </w:p>
                <w:p w14:paraId="0D7E9BE6" w14:textId="77777777" w:rsidR="00112975" w:rsidRPr="00491A41" w:rsidRDefault="00112975" w:rsidP="00112975">
                  <w:pPr>
                    <w:spacing w:line="360" w:lineRule="auto"/>
                    <w:ind w:left="100"/>
                    <w:jc w:val="center"/>
                    <w:rPr>
                      <w:rFonts w:eastAsia="Arial"/>
                      <w:sz w:val="22"/>
                      <w:szCs w:val="22"/>
                    </w:rPr>
                  </w:pPr>
                </w:p>
                <w:p w14:paraId="4D2F7622" w14:textId="77777777" w:rsidR="00112975" w:rsidRPr="00491A41" w:rsidRDefault="00112975" w:rsidP="00112975">
                  <w:pPr>
                    <w:spacing w:line="360" w:lineRule="auto"/>
                    <w:ind w:left="100"/>
                    <w:jc w:val="center"/>
                    <w:rPr>
                      <w:rFonts w:eastAsia="Arial"/>
                      <w:sz w:val="22"/>
                      <w:szCs w:val="22"/>
                    </w:rPr>
                  </w:pPr>
                  <w:r w:rsidRPr="00491A41">
                    <w:rPr>
                      <w:rFonts w:eastAsia="Arial"/>
                      <w:sz w:val="22"/>
                      <w:szCs w:val="22"/>
                    </w:rPr>
                    <w:t>skrajna oś toru</w:t>
                  </w:r>
                </w:p>
              </w:tc>
              <w:tc>
                <w:tcPr>
                  <w:tcW w:w="992" w:type="dxa"/>
                  <w:tcBorders>
                    <w:top w:val="double" w:sz="4" w:space="0" w:color="auto"/>
                    <w:bottom w:val="single" w:sz="4" w:space="0" w:color="auto"/>
                    <w:right w:val="single" w:sz="8" w:space="0" w:color="auto"/>
                  </w:tcBorders>
                  <w:shd w:val="clear" w:color="auto" w:fill="auto"/>
                  <w:vAlign w:val="center"/>
                </w:tcPr>
                <w:p w14:paraId="30D3DD4E"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2,2 od osi toru</w:t>
                  </w:r>
                </w:p>
              </w:tc>
              <w:tc>
                <w:tcPr>
                  <w:tcW w:w="851" w:type="dxa"/>
                  <w:tcBorders>
                    <w:top w:val="double" w:sz="4" w:space="0" w:color="auto"/>
                    <w:bottom w:val="single" w:sz="4" w:space="0" w:color="auto"/>
                    <w:right w:val="single" w:sz="4" w:space="0" w:color="auto"/>
                  </w:tcBorders>
                  <w:vAlign w:val="center"/>
                </w:tcPr>
                <w:p w14:paraId="4ADDC2D7" w14:textId="77777777" w:rsidR="00112975" w:rsidRPr="00491A41" w:rsidRDefault="00112975" w:rsidP="00112975">
                  <w:pPr>
                    <w:spacing w:line="360" w:lineRule="auto"/>
                    <w:ind w:left="80"/>
                    <w:jc w:val="center"/>
                    <w:rPr>
                      <w:rFonts w:eastAsia="Arial"/>
                      <w:sz w:val="22"/>
                      <w:szCs w:val="22"/>
                    </w:rPr>
                  </w:pPr>
                </w:p>
                <w:p w14:paraId="38889337" w14:textId="77777777" w:rsidR="00112975" w:rsidRPr="00491A41" w:rsidRDefault="00112975" w:rsidP="00112975">
                  <w:pPr>
                    <w:spacing w:line="360" w:lineRule="auto"/>
                    <w:ind w:left="80"/>
                    <w:jc w:val="center"/>
                    <w:rPr>
                      <w:rFonts w:eastAsia="Arial"/>
                      <w:sz w:val="22"/>
                      <w:szCs w:val="22"/>
                    </w:rPr>
                  </w:pPr>
                </w:p>
                <w:p w14:paraId="6A84680A"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od poziom</w:t>
                  </w:r>
                  <w:r w:rsidRPr="00491A41">
                    <w:rPr>
                      <w:rFonts w:eastAsia="Arial"/>
                      <w:sz w:val="22"/>
                      <w:szCs w:val="22"/>
                    </w:rPr>
                    <w:lastRenderedPageBreak/>
                    <w:t>u główki szyny</w:t>
                  </w:r>
                </w:p>
              </w:tc>
              <w:tc>
                <w:tcPr>
                  <w:tcW w:w="709" w:type="dxa"/>
                  <w:tcBorders>
                    <w:top w:val="double" w:sz="4" w:space="0" w:color="auto"/>
                    <w:left w:val="single" w:sz="4" w:space="0" w:color="auto"/>
                    <w:bottom w:val="single" w:sz="4" w:space="0" w:color="auto"/>
                    <w:right w:val="single" w:sz="8" w:space="0" w:color="auto"/>
                  </w:tcBorders>
                  <w:shd w:val="clear" w:color="auto" w:fill="auto"/>
                  <w:vAlign w:val="center"/>
                </w:tcPr>
                <w:p w14:paraId="74983746"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lastRenderedPageBreak/>
                    <w:t>1,5</w:t>
                  </w:r>
                </w:p>
              </w:tc>
              <w:tc>
                <w:tcPr>
                  <w:tcW w:w="992" w:type="dxa"/>
                  <w:tcBorders>
                    <w:top w:val="double" w:sz="4" w:space="0" w:color="auto"/>
                    <w:bottom w:val="single" w:sz="4" w:space="0" w:color="auto"/>
                    <w:right w:val="single" w:sz="8" w:space="0" w:color="auto"/>
                  </w:tcBorders>
                  <w:shd w:val="clear" w:color="auto" w:fill="auto"/>
                  <w:vAlign w:val="center"/>
                </w:tcPr>
                <w:p w14:paraId="0E8D6B00"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 xml:space="preserve">rury osłonowe przepustowe lub </w:t>
                  </w:r>
                  <w:r w:rsidRPr="00491A41">
                    <w:rPr>
                      <w:rFonts w:eastAsia="Arial"/>
                      <w:sz w:val="22"/>
                      <w:szCs w:val="22"/>
                    </w:rPr>
                    <w:lastRenderedPageBreak/>
                    <w:t>kanały kablowe</w:t>
                  </w:r>
                </w:p>
              </w:tc>
              <w:tc>
                <w:tcPr>
                  <w:tcW w:w="1832" w:type="dxa"/>
                  <w:tcBorders>
                    <w:top w:val="double" w:sz="4" w:space="0" w:color="auto"/>
                    <w:bottom w:val="single" w:sz="4" w:space="0" w:color="auto"/>
                    <w:right w:val="single" w:sz="8" w:space="0" w:color="auto"/>
                  </w:tcBorders>
                  <w:shd w:val="clear" w:color="auto" w:fill="auto"/>
                  <w:vAlign w:val="center"/>
                </w:tcPr>
                <w:p w14:paraId="624E8822"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lastRenderedPageBreak/>
                    <w:t>rury osłonowe przepustowe,</w:t>
                  </w:r>
                </w:p>
                <w:p w14:paraId="79C975D6"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 xml:space="preserve">taśmy ostrzegawcze TO, </w:t>
                  </w:r>
                  <w:r w:rsidRPr="00491A41">
                    <w:rPr>
                      <w:rFonts w:eastAsia="Arial"/>
                      <w:sz w:val="22"/>
                      <w:szCs w:val="22"/>
                    </w:rPr>
                    <w:lastRenderedPageBreak/>
                    <w:t>znaczniki elektromagnetyczne</w:t>
                  </w:r>
                </w:p>
              </w:tc>
            </w:tr>
            <w:tr w:rsidR="006514FD" w:rsidRPr="00491A41" w14:paraId="6F27AFE5" w14:textId="77777777" w:rsidTr="006514FD">
              <w:trPr>
                <w:trHeight w:val="578"/>
              </w:trPr>
              <w:tc>
                <w:tcPr>
                  <w:tcW w:w="1135" w:type="dxa"/>
                  <w:tcBorders>
                    <w:top w:val="single" w:sz="4" w:space="0" w:color="auto"/>
                    <w:left w:val="single" w:sz="8" w:space="0" w:color="auto"/>
                    <w:bottom w:val="single" w:sz="4" w:space="0" w:color="auto"/>
                    <w:right w:val="single" w:sz="8" w:space="0" w:color="auto"/>
                  </w:tcBorders>
                  <w:vAlign w:val="center"/>
                </w:tcPr>
                <w:p w14:paraId="4F902C13" w14:textId="77777777" w:rsidR="00112975" w:rsidRPr="00491A41" w:rsidRDefault="00112975" w:rsidP="00112975">
                  <w:pPr>
                    <w:spacing w:line="360" w:lineRule="auto"/>
                    <w:ind w:left="100"/>
                    <w:jc w:val="center"/>
                    <w:rPr>
                      <w:rFonts w:eastAsia="Arial"/>
                      <w:sz w:val="22"/>
                      <w:szCs w:val="22"/>
                    </w:rPr>
                  </w:pPr>
                  <w:r w:rsidRPr="00491A41">
                    <w:rPr>
                      <w:rFonts w:eastAsia="Arial"/>
                      <w:sz w:val="22"/>
                      <w:szCs w:val="22"/>
                    </w:rPr>
                    <w:lastRenderedPageBreak/>
                    <w:t>Podtorze kolejowe</w:t>
                  </w:r>
                </w:p>
              </w:tc>
              <w:tc>
                <w:tcPr>
                  <w:tcW w:w="992" w:type="dxa"/>
                  <w:tcBorders>
                    <w:top w:val="single" w:sz="4" w:space="0" w:color="auto"/>
                    <w:left w:val="single" w:sz="8" w:space="0" w:color="auto"/>
                    <w:bottom w:val="single" w:sz="4" w:space="0" w:color="auto"/>
                    <w:right w:val="single" w:sz="8" w:space="0" w:color="auto"/>
                  </w:tcBorders>
                  <w:vAlign w:val="center"/>
                </w:tcPr>
                <w:p w14:paraId="68F7C13F" w14:textId="77777777" w:rsidR="00112975" w:rsidRPr="00491A41" w:rsidRDefault="00112975" w:rsidP="00112975">
                  <w:pPr>
                    <w:spacing w:line="360" w:lineRule="auto"/>
                    <w:ind w:left="100"/>
                    <w:jc w:val="center"/>
                    <w:rPr>
                      <w:rFonts w:eastAsia="Arial"/>
                      <w:sz w:val="22"/>
                      <w:szCs w:val="22"/>
                    </w:rPr>
                  </w:pPr>
                  <w:r w:rsidRPr="00491A41">
                    <w:rPr>
                      <w:rFonts w:eastAsia="Arial"/>
                      <w:sz w:val="22"/>
                      <w:szCs w:val="22"/>
                    </w:rPr>
                    <w:t>granicy podtorza</w:t>
                  </w:r>
                </w:p>
              </w:tc>
              <w:tc>
                <w:tcPr>
                  <w:tcW w:w="992" w:type="dxa"/>
                  <w:tcBorders>
                    <w:top w:val="single" w:sz="4" w:space="0" w:color="auto"/>
                    <w:bottom w:val="single" w:sz="4" w:space="0" w:color="auto"/>
                    <w:right w:val="single" w:sz="8" w:space="0" w:color="auto"/>
                  </w:tcBorders>
                  <w:shd w:val="clear" w:color="auto" w:fill="auto"/>
                  <w:vAlign w:val="center"/>
                </w:tcPr>
                <w:p w14:paraId="03BD80C1"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0,5</w:t>
                  </w:r>
                </w:p>
                <w:p w14:paraId="1801310D" w14:textId="77777777" w:rsidR="00112975" w:rsidRPr="00491A41" w:rsidRDefault="00112975" w:rsidP="00112975">
                  <w:pPr>
                    <w:spacing w:line="360" w:lineRule="auto"/>
                    <w:ind w:left="80"/>
                    <w:jc w:val="center"/>
                    <w:rPr>
                      <w:rFonts w:eastAsia="Arial"/>
                      <w:sz w:val="22"/>
                      <w:szCs w:val="22"/>
                    </w:rPr>
                  </w:pPr>
                </w:p>
              </w:tc>
              <w:tc>
                <w:tcPr>
                  <w:tcW w:w="851" w:type="dxa"/>
                  <w:tcBorders>
                    <w:top w:val="single" w:sz="4" w:space="0" w:color="auto"/>
                    <w:bottom w:val="single" w:sz="4" w:space="0" w:color="auto"/>
                    <w:right w:val="single" w:sz="4" w:space="0" w:color="auto"/>
                  </w:tcBorders>
                  <w:vAlign w:val="center"/>
                </w:tcPr>
                <w:p w14:paraId="00C37766"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od poziomu główki szyny</w:t>
                  </w:r>
                </w:p>
              </w:tc>
              <w:tc>
                <w:tcPr>
                  <w:tcW w:w="709" w:type="dxa"/>
                  <w:tcBorders>
                    <w:top w:val="single" w:sz="4" w:space="0" w:color="auto"/>
                    <w:left w:val="single" w:sz="4" w:space="0" w:color="auto"/>
                    <w:bottom w:val="single" w:sz="4" w:space="0" w:color="auto"/>
                    <w:right w:val="single" w:sz="8" w:space="0" w:color="auto"/>
                  </w:tcBorders>
                  <w:shd w:val="clear" w:color="auto" w:fill="auto"/>
                  <w:vAlign w:val="center"/>
                </w:tcPr>
                <w:p w14:paraId="65C835F4"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0,7</w:t>
                  </w:r>
                </w:p>
                <w:p w14:paraId="4CCAD0CB" w14:textId="77777777" w:rsidR="00112975" w:rsidRPr="00491A41" w:rsidRDefault="00112975" w:rsidP="00112975">
                  <w:pPr>
                    <w:spacing w:line="360" w:lineRule="auto"/>
                    <w:ind w:left="80"/>
                    <w:jc w:val="center"/>
                    <w:rPr>
                      <w:rFonts w:eastAsia="Arial"/>
                      <w:sz w:val="22"/>
                      <w:szCs w:val="22"/>
                    </w:rPr>
                  </w:pPr>
                </w:p>
              </w:tc>
              <w:tc>
                <w:tcPr>
                  <w:tcW w:w="992" w:type="dxa"/>
                  <w:tcBorders>
                    <w:top w:val="single" w:sz="4" w:space="0" w:color="auto"/>
                    <w:bottom w:val="single" w:sz="4" w:space="0" w:color="auto"/>
                    <w:right w:val="single" w:sz="8" w:space="0" w:color="auto"/>
                  </w:tcBorders>
                  <w:shd w:val="clear" w:color="auto" w:fill="auto"/>
                  <w:vAlign w:val="center"/>
                </w:tcPr>
                <w:p w14:paraId="1BB8EA6B"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rury osłonowe przepustowe lub kanały kablowe</w:t>
                  </w:r>
                </w:p>
              </w:tc>
              <w:tc>
                <w:tcPr>
                  <w:tcW w:w="1832" w:type="dxa"/>
                  <w:tcBorders>
                    <w:top w:val="single" w:sz="4" w:space="0" w:color="auto"/>
                    <w:bottom w:val="single" w:sz="4" w:space="0" w:color="auto"/>
                    <w:right w:val="single" w:sz="8" w:space="0" w:color="auto"/>
                  </w:tcBorders>
                  <w:shd w:val="clear" w:color="auto" w:fill="auto"/>
                  <w:vAlign w:val="center"/>
                </w:tcPr>
                <w:p w14:paraId="2005C937"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rury osłonowe przepustowe,</w:t>
                  </w:r>
                </w:p>
                <w:p w14:paraId="1904FB41" w14:textId="77777777" w:rsidR="00112975" w:rsidRPr="00491A41" w:rsidRDefault="00112975" w:rsidP="00112975">
                  <w:pPr>
                    <w:spacing w:line="360" w:lineRule="auto"/>
                    <w:ind w:left="80"/>
                    <w:jc w:val="center"/>
                    <w:rPr>
                      <w:rFonts w:eastAsia="Arial"/>
                      <w:sz w:val="22"/>
                      <w:szCs w:val="22"/>
                    </w:rPr>
                  </w:pPr>
                  <w:r w:rsidRPr="00491A41">
                    <w:rPr>
                      <w:rFonts w:eastAsia="Arial"/>
                      <w:sz w:val="22"/>
                      <w:szCs w:val="22"/>
                    </w:rPr>
                    <w:t>taśmy ostrzegawcze TO, taśmy ostrzegawczo-lokalizacyjne TOL, znaczniki elektromagnetyczne</w:t>
                  </w:r>
                </w:p>
              </w:tc>
            </w:tr>
          </w:tbl>
          <w:p w14:paraId="6093E8BD" w14:textId="77777777" w:rsidR="00351170" w:rsidRPr="00491A41" w:rsidRDefault="00351170" w:rsidP="4138D473">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255480F0" w14:textId="77777777" w:rsidR="00351170" w:rsidRPr="00491A41" w:rsidRDefault="00DC115F" w:rsidP="2531BF8E">
            <w:pPr>
              <w:jc w:val="both"/>
              <w:rPr>
                <w:rFonts w:eastAsia="Times New Roman"/>
                <w:sz w:val="22"/>
                <w:szCs w:val="22"/>
              </w:rPr>
            </w:pPr>
            <w:r w:rsidRPr="00491A41">
              <w:rPr>
                <w:rFonts w:eastAsia="Times New Roman"/>
                <w:sz w:val="22"/>
                <w:szCs w:val="22"/>
              </w:rPr>
              <w:lastRenderedPageBreak/>
              <w:t>Uwaga uwzględniona</w:t>
            </w:r>
          </w:p>
        </w:tc>
      </w:tr>
      <w:tr w:rsidR="001D5E66" w:rsidRPr="00491A41" w14:paraId="405A53FB"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6C4F2F39" w14:textId="77777777" w:rsidR="001D5E66" w:rsidRPr="00491A41" w:rsidRDefault="001D5E66"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34D383C3" w14:textId="77777777" w:rsidR="001D5E66" w:rsidRPr="00491A41" w:rsidRDefault="005053A0" w:rsidP="4138D473">
            <w:pPr>
              <w:pStyle w:val="Tekstpodstawowy"/>
              <w:jc w:val="center"/>
              <w:rPr>
                <w:sz w:val="22"/>
                <w:szCs w:val="22"/>
              </w:rPr>
            </w:pPr>
            <w:r w:rsidRPr="00491A41">
              <w:rPr>
                <w:sz w:val="22"/>
                <w:szCs w:val="22"/>
              </w:rPr>
              <w:t>Załącznik</w:t>
            </w:r>
            <w:r w:rsidR="001D5E66" w:rsidRPr="00491A41">
              <w:rPr>
                <w:sz w:val="22"/>
                <w:szCs w:val="22"/>
              </w:rPr>
              <w:t xml:space="preserve"> nr 1 rozdz. I ust. 3</w:t>
            </w:r>
          </w:p>
        </w:tc>
        <w:tc>
          <w:tcPr>
            <w:tcW w:w="933" w:type="dxa"/>
            <w:tcBorders>
              <w:top w:val="single" w:sz="4" w:space="0" w:color="auto"/>
              <w:left w:val="single" w:sz="4" w:space="0" w:color="auto"/>
              <w:bottom w:val="single" w:sz="4" w:space="0" w:color="auto"/>
              <w:right w:val="single" w:sz="4" w:space="0" w:color="auto"/>
            </w:tcBorders>
          </w:tcPr>
          <w:p w14:paraId="3172929A" w14:textId="77777777" w:rsidR="001D5E66" w:rsidRPr="00491A41" w:rsidRDefault="001D5E66"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136EF1B8" w14:textId="77777777" w:rsidR="001D5E66" w:rsidRPr="00491A41" w:rsidRDefault="001D5E66" w:rsidP="001D5E66">
            <w:pPr>
              <w:jc w:val="both"/>
              <w:rPr>
                <w:bCs/>
                <w:sz w:val="22"/>
                <w:szCs w:val="22"/>
              </w:rPr>
            </w:pPr>
            <w:r w:rsidRPr="00491A41">
              <w:rPr>
                <w:bCs/>
                <w:sz w:val="22"/>
                <w:szCs w:val="22"/>
              </w:rPr>
              <w:t>dodanie kolejnego punktu po pkt 2 w następującym brzmieniu: „</w:t>
            </w:r>
            <w:r w:rsidRPr="00491A41">
              <w:rPr>
                <w:bCs/>
                <w:i/>
                <w:sz w:val="22"/>
                <w:szCs w:val="22"/>
              </w:rPr>
              <w:t>telekomunikacyjne linie kablowe należy prowadzić wzdłuż linii kolejowej po zewnętrznej stronie pasa obszaru kolejowego (patrząc od osi toru), w odległości co najmniej 0,5 m od granicy podtorza, na głębokości co najmniej 0,7 m od poziomu główki szyny”.</w:t>
            </w:r>
          </w:p>
          <w:p w14:paraId="223BD62B" w14:textId="77777777" w:rsidR="001D5E66" w:rsidRPr="00491A41" w:rsidRDefault="001D5E66" w:rsidP="001D5E66">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6C93FD8B" w14:textId="25A0FAF2" w:rsidR="00C2518F" w:rsidRDefault="00DC115F" w:rsidP="00DC115F">
            <w:pPr>
              <w:jc w:val="both"/>
              <w:rPr>
                <w:rFonts w:eastAsia="Times New Roman"/>
                <w:sz w:val="22"/>
                <w:szCs w:val="22"/>
              </w:rPr>
            </w:pPr>
            <w:r w:rsidRPr="00491A41">
              <w:rPr>
                <w:rFonts w:eastAsia="Times New Roman"/>
                <w:sz w:val="22"/>
                <w:szCs w:val="22"/>
              </w:rPr>
              <w:t xml:space="preserve">Uwaga </w:t>
            </w:r>
            <w:r w:rsidR="007D1C6B">
              <w:rPr>
                <w:rFonts w:eastAsia="Times New Roman"/>
                <w:sz w:val="22"/>
                <w:szCs w:val="22"/>
              </w:rPr>
              <w:t>wyjaśniona</w:t>
            </w:r>
          </w:p>
          <w:p w14:paraId="2BC7CFFC" w14:textId="77777777" w:rsidR="00DD2666" w:rsidRPr="00491A41" w:rsidRDefault="00DD2666" w:rsidP="00DC115F">
            <w:pPr>
              <w:jc w:val="both"/>
              <w:rPr>
                <w:rFonts w:eastAsia="Times New Roman"/>
                <w:sz w:val="22"/>
                <w:szCs w:val="22"/>
              </w:rPr>
            </w:pPr>
          </w:p>
          <w:p w14:paraId="0472BA1B" w14:textId="4380A568" w:rsidR="001D5E66" w:rsidRPr="00491A41" w:rsidRDefault="00755326" w:rsidP="005649DA">
            <w:pPr>
              <w:jc w:val="both"/>
              <w:rPr>
                <w:rFonts w:eastAsia="Times New Roman"/>
                <w:sz w:val="22"/>
                <w:szCs w:val="22"/>
              </w:rPr>
            </w:pPr>
            <w:r w:rsidRPr="00491A41">
              <w:rPr>
                <w:rFonts w:eastAsia="Times New Roman"/>
                <w:sz w:val="22"/>
                <w:szCs w:val="22"/>
              </w:rPr>
              <w:t>Z</w:t>
            </w:r>
            <w:r w:rsidR="007F0A2D" w:rsidRPr="00491A41">
              <w:rPr>
                <w:rFonts w:eastAsia="Times New Roman"/>
                <w:sz w:val="22"/>
                <w:szCs w:val="22"/>
              </w:rPr>
              <w:t xml:space="preserve">aproponowany tekst </w:t>
            </w:r>
            <w:r w:rsidR="00C37FC4" w:rsidRPr="00491A41">
              <w:rPr>
                <w:rFonts w:eastAsia="Times New Roman"/>
                <w:sz w:val="22"/>
                <w:szCs w:val="22"/>
              </w:rPr>
              <w:t xml:space="preserve">jest interpretacją wymagań </w:t>
            </w:r>
            <w:r w:rsidR="005649DA" w:rsidRPr="00491A41">
              <w:rPr>
                <w:rFonts w:eastAsia="Times New Roman"/>
                <w:sz w:val="22"/>
                <w:szCs w:val="22"/>
              </w:rPr>
              <w:t xml:space="preserve">z </w:t>
            </w:r>
            <w:r w:rsidR="00C37FC4" w:rsidRPr="00491A41">
              <w:rPr>
                <w:rFonts w:eastAsia="Times New Roman"/>
                <w:sz w:val="22"/>
                <w:szCs w:val="22"/>
              </w:rPr>
              <w:t>tabeli</w:t>
            </w:r>
            <w:r w:rsidR="007F0A2D" w:rsidRPr="00491A41">
              <w:rPr>
                <w:rFonts w:eastAsia="Times New Roman"/>
                <w:sz w:val="22"/>
                <w:szCs w:val="22"/>
              </w:rPr>
              <w:t xml:space="preserve"> i nie wprowadza nowej normy.</w:t>
            </w:r>
          </w:p>
        </w:tc>
      </w:tr>
      <w:tr w:rsidR="001D5E66" w:rsidRPr="00491A41" w14:paraId="726770FF"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6454AA89" w14:textId="77777777" w:rsidR="001D5E66" w:rsidRPr="00491A41" w:rsidRDefault="001D5E66"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1F1F2842" w14:textId="77777777" w:rsidR="001D5E66" w:rsidRPr="00491A41" w:rsidRDefault="001D5E66" w:rsidP="005053A0">
            <w:pPr>
              <w:pStyle w:val="Tekstpodstawowy"/>
              <w:jc w:val="center"/>
              <w:rPr>
                <w:sz w:val="22"/>
                <w:szCs w:val="22"/>
              </w:rPr>
            </w:pPr>
            <w:r w:rsidRPr="00491A41">
              <w:rPr>
                <w:sz w:val="22"/>
                <w:szCs w:val="22"/>
              </w:rPr>
              <w:t>Załącznik nr 1 rozdz. I ust. 3</w:t>
            </w:r>
          </w:p>
        </w:tc>
        <w:tc>
          <w:tcPr>
            <w:tcW w:w="933" w:type="dxa"/>
            <w:tcBorders>
              <w:top w:val="single" w:sz="4" w:space="0" w:color="auto"/>
              <w:left w:val="single" w:sz="4" w:space="0" w:color="auto"/>
              <w:bottom w:val="single" w:sz="4" w:space="0" w:color="auto"/>
              <w:right w:val="single" w:sz="4" w:space="0" w:color="auto"/>
            </w:tcBorders>
          </w:tcPr>
          <w:p w14:paraId="09582154" w14:textId="77777777" w:rsidR="001D5E66" w:rsidRPr="00491A41" w:rsidRDefault="001D5E66"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15035395" w14:textId="77777777" w:rsidR="001D5E66" w:rsidRPr="00491A41" w:rsidRDefault="001D5E66" w:rsidP="001D5E66">
            <w:pPr>
              <w:jc w:val="both"/>
              <w:rPr>
                <w:bCs/>
                <w:sz w:val="22"/>
                <w:szCs w:val="22"/>
              </w:rPr>
            </w:pPr>
            <w:r w:rsidRPr="00491A41">
              <w:rPr>
                <w:bCs/>
                <w:sz w:val="22"/>
                <w:szCs w:val="22"/>
              </w:rPr>
              <w:t xml:space="preserve">usunięcie z treści pkt 3 w części I w ust. 3 w załączniku 1 wyrazów: </w:t>
            </w:r>
          </w:p>
          <w:p w14:paraId="3BAA3A38" w14:textId="77777777" w:rsidR="001D5E66" w:rsidRPr="00491A41" w:rsidRDefault="001D5E66" w:rsidP="001D5E66">
            <w:pPr>
              <w:jc w:val="both"/>
              <w:rPr>
                <w:bCs/>
                <w:i/>
                <w:sz w:val="22"/>
                <w:szCs w:val="22"/>
              </w:rPr>
            </w:pPr>
            <w:r w:rsidRPr="00491A41">
              <w:rPr>
                <w:bCs/>
                <w:i/>
                <w:sz w:val="22"/>
                <w:szCs w:val="22"/>
              </w:rPr>
              <w:t xml:space="preserve">„poprzez ustanowienie na rzecz właściciela linii kolejowej służebności przesyłu;”. </w:t>
            </w:r>
          </w:p>
          <w:p w14:paraId="0C884DF0" w14:textId="77777777" w:rsidR="001D5E66" w:rsidRPr="00491A41" w:rsidRDefault="001D5E66" w:rsidP="001D5E66">
            <w:pPr>
              <w:jc w:val="both"/>
              <w:rPr>
                <w:sz w:val="22"/>
                <w:szCs w:val="22"/>
              </w:rPr>
            </w:pPr>
            <w:r w:rsidRPr="00491A41">
              <w:rPr>
                <w:bCs/>
                <w:sz w:val="22"/>
                <w:szCs w:val="22"/>
              </w:rPr>
              <w:t>Określenie w tym przepisie na czyją rzecz ma być ustanowiona służebność przesyłu jest zbędne, bowiem uzyskanie prawa do przejścia z inwestycją przez dany teren i posadowienie na nim kabli  telekomunikacyjnych lub innych urządzeń telekomunikacyjnych jest obowiązkiem inwestora, i nie powinno stanowić materii tego rozporządzenia, które określa warunki techniczne, jakim powinny odpowiadać telekomunikacyjne obiekty budowlane i ich usytuowanie. Poza tym inwestorem mogą być również inne podmioty, a w przepisie tym określa się ustanowienie na rzecz właściciela linii kolejowej służebności przesyłu. Podobnie jest z kwestią określenia w pkt 3, stwierdzającego, iż powinna być ustanowiona służebność przesyłu. Takie uregulowanie wykracza poza delegację ustawową.</w:t>
            </w:r>
            <w:r w:rsidRPr="00491A41">
              <w:rPr>
                <w:sz w:val="22"/>
                <w:szCs w:val="22"/>
              </w:rPr>
              <w:t xml:space="preserve"> </w:t>
            </w:r>
          </w:p>
          <w:p w14:paraId="6422B0A0" w14:textId="77777777" w:rsidR="001D5E66" w:rsidRPr="00491A41" w:rsidRDefault="001D5E66" w:rsidP="001D5E66">
            <w:pPr>
              <w:jc w:val="both"/>
              <w:rPr>
                <w:sz w:val="22"/>
                <w:szCs w:val="22"/>
              </w:rPr>
            </w:pPr>
            <w:r w:rsidRPr="00491A41">
              <w:rPr>
                <w:sz w:val="22"/>
                <w:szCs w:val="22"/>
              </w:rPr>
              <w:t>Ponadto w </w:t>
            </w:r>
            <w:r w:rsidRPr="00491A41">
              <w:rPr>
                <w:bCs/>
                <w:sz w:val="22"/>
                <w:szCs w:val="22"/>
              </w:rPr>
              <w:t>zdaniu</w:t>
            </w:r>
            <w:r w:rsidRPr="00491A41">
              <w:rPr>
                <w:sz w:val="22"/>
                <w:szCs w:val="22"/>
              </w:rPr>
              <w:t xml:space="preserve"> pierwszym w pkt 3 należy doprecyzować, iż mowa jest o obszarze kolejowym.</w:t>
            </w:r>
          </w:p>
          <w:p w14:paraId="21DECC0F" w14:textId="77777777" w:rsidR="001D5E66" w:rsidRPr="00491A41" w:rsidRDefault="001D5E66" w:rsidP="001D5E66">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7B471E6F" w14:textId="77777777" w:rsidR="001D5E66" w:rsidRPr="00491A41" w:rsidRDefault="00DC115F" w:rsidP="2531BF8E">
            <w:pPr>
              <w:jc w:val="both"/>
              <w:rPr>
                <w:rFonts w:eastAsia="Times New Roman"/>
                <w:sz w:val="22"/>
                <w:szCs w:val="22"/>
              </w:rPr>
            </w:pPr>
            <w:r w:rsidRPr="00491A41">
              <w:rPr>
                <w:rFonts w:eastAsia="Times New Roman"/>
                <w:sz w:val="22"/>
                <w:szCs w:val="22"/>
              </w:rPr>
              <w:lastRenderedPageBreak/>
              <w:t>Uwaga uwzględniona</w:t>
            </w:r>
          </w:p>
        </w:tc>
      </w:tr>
      <w:tr w:rsidR="001D5E66" w:rsidRPr="00491A41" w14:paraId="4456B26E"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0566DD67" w14:textId="77777777" w:rsidR="001D5E66" w:rsidRPr="00491A41" w:rsidRDefault="001D5E66"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56486825" w14:textId="793F6E11" w:rsidR="001D5E66" w:rsidRPr="00491A41" w:rsidRDefault="005053A0" w:rsidP="005053A0">
            <w:pPr>
              <w:pStyle w:val="Tekstpodstawowy"/>
              <w:jc w:val="center"/>
              <w:rPr>
                <w:sz w:val="22"/>
                <w:szCs w:val="22"/>
              </w:rPr>
            </w:pPr>
            <w:r w:rsidRPr="00491A41">
              <w:rPr>
                <w:sz w:val="22"/>
                <w:szCs w:val="22"/>
              </w:rPr>
              <w:t xml:space="preserve"> </w:t>
            </w:r>
            <w:r w:rsidR="005F3DE5" w:rsidRPr="00491A41">
              <w:rPr>
                <w:sz w:val="22"/>
                <w:szCs w:val="22"/>
              </w:rPr>
              <w:t>Załącznik nr</w:t>
            </w:r>
            <w:r w:rsidR="001D5E66" w:rsidRPr="00491A41">
              <w:rPr>
                <w:sz w:val="22"/>
                <w:szCs w:val="22"/>
              </w:rPr>
              <w:t xml:space="preserve"> 1 rozdz. I ust. 3</w:t>
            </w:r>
          </w:p>
        </w:tc>
        <w:tc>
          <w:tcPr>
            <w:tcW w:w="933" w:type="dxa"/>
            <w:tcBorders>
              <w:top w:val="single" w:sz="4" w:space="0" w:color="auto"/>
              <w:left w:val="single" w:sz="4" w:space="0" w:color="auto"/>
              <w:bottom w:val="single" w:sz="4" w:space="0" w:color="auto"/>
              <w:right w:val="single" w:sz="4" w:space="0" w:color="auto"/>
            </w:tcBorders>
          </w:tcPr>
          <w:p w14:paraId="32D04855" w14:textId="77777777" w:rsidR="001D5E66" w:rsidRPr="00491A41" w:rsidRDefault="001D5E66"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7B73A623" w14:textId="77777777" w:rsidR="001D5E66" w:rsidRPr="00491A41" w:rsidRDefault="001D5E66" w:rsidP="001D5E66">
            <w:pPr>
              <w:jc w:val="both"/>
              <w:rPr>
                <w:sz w:val="22"/>
                <w:szCs w:val="22"/>
              </w:rPr>
            </w:pPr>
            <w:r w:rsidRPr="00491A41">
              <w:rPr>
                <w:bCs/>
                <w:sz w:val="22"/>
                <w:szCs w:val="22"/>
              </w:rPr>
              <w:t xml:space="preserve">w pkt 4 proponuję zastąpienie wyrazów: „w odległości mniejszej od” wyrazami </w:t>
            </w:r>
            <w:r w:rsidRPr="00491A41">
              <w:rPr>
                <w:bCs/>
                <w:sz w:val="22"/>
                <w:szCs w:val="22"/>
              </w:rPr>
              <w:br/>
              <w:t xml:space="preserve">„w odległości mniejszej niż”. </w:t>
            </w:r>
          </w:p>
          <w:p w14:paraId="1EB994F0" w14:textId="77777777" w:rsidR="001D5E66" w:rsidRPr="00491A41" w:rsidRDefault="001D5E66" w:rsidP="001D5E66">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5093775B" w14:textId="77777777" w:rsidR="001D5E66" w:rsidRPr="00491A41" w:rsidRDefault="00DC115F" w:rsidP="2531BF8E">
            <w:pPr>
              <w:jc w:val="both"/>
              <w:rPr>
                <w:rFonts w:eastAsia="Times New Roman"/>
                <w:sz w:val="22"/>
                <w:szCs w:val="22"/>
              </w:rPr>
            </w:pPr>
            <w:r w:rsidRPr="00491A41">
              <w:rPr>
                <w:rFonts w:eastAsia="Times New Roman"/>
                <w:sz w:val="22"/>
                <w:szCs w:val="22"/>
              </w:rPr>
              <w:t>Uwaga uwzględniona</w:t>
            </w:r>
          </w:p>
        </w:tc>
      </w:tr>
      <w:tr w:rsidR="001D5E66" w:rsidRPr="00491A41" w14:paraId="1957CDC3"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4D07EDAB" w14:textId="77777777" w:rsidR="001D5E66" w:rsidRPr="00491A41" w:rsidRDefault="001D5E66"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44358C71" w14:textId="77777777" w:rsidR="001D5E66" w:rsidRPr="00491A41" w:rsidRDefault="005053A0" w:rsidP="4138D473">
            <w:pPr>
              <w:pStyle w:val="Tekstpodstawowy"/>
              <w:jc w:val="center"/>
              <w:rPr>
                <w:sz w:val="22"/>
                <w:szCs w:val="22"/>
              </w:rPr>
            </w:pPr>
            <w:r w:rsidRPr="00491A41">
              <w:rPr>
                <w:sz w:val="22"/>
                <w:szCs w:val="22"/>
              </w:rPr>
              <w:t>Załącznik</w:t>
            </w:r>
            <w:r w:rsidR="001D5E66" w:rsidRPr="00491A41">
              <w:rPr>
                <w:sz w:val="22"/>
                <w:szCs w:val="22"/>
              </w:rPr>
              <w:t xml:space="preserve"> nr 1 rozdz. I ust. 3</w:t>
            </w:r>
          </w:p>
        </w:tc>
        <w:tc>
          <w:tcPr>
            <w:tcW w:w="933" w:type="dxa"/>
            <w:tcBorders>
              <w:top w:val="single" w:sz="4" w:space="0" w:color="auto"/>
              <w:left w:val="single" w:sz="4" w:space="0" w:color="auto"/>
              <w:bottom w:val="single" w:sz="4" w:space="0" w:color="auto"/>
              <w:right w:val="single" w:sz="4" w:space="0" w:color="auto"/>
            </w:tcBorders>
          </w:tcPr>
          <w:p w14:paraId="5559A44A" w14:textId="77777777" w:rsidR="001D5E66" w:rsidRPr="00491A41" w:rsidRDefault="001D5E66"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6B009188" w14:textId="77777777" w:rsidR="001D5E66" w:rsidRPr="00491A41" w:rsidRDefault="001D5E66" w:rsidP="001D5E66">
            <w:pPr>
              <w:jc w:val="both"/>
              <w:rPr>
                <w:sz w:val="22"/>
                <w:szCs w:val="22"/>
              </w:rPr>
            </w:pPr>
            <w:r w:rsidRPr="00491A41">
              <w:rPr>
                <w:sz w:val="22"/>
                <w:szCs w:val="22"/>
              </w:rPr>
              <w:t xml:space="preserve">w pkt 7 wykreślenie wyrazów: „na liniach zelektryfikowanych przy torze zbudowanym z szyn UIC S60 i podkładach strunobetonowych odległość podstawowa liczona od osi toru powinna wynosić co najmniej 2,80 m do boku korytka”. </w:t>
            </w:r>
          </w:p>
          <w:p w14:paraId="0FDC08C4" w14:textId="77777777" w:rsidR="001D5E66" w:rsidRPr="00491A41" w:rsidRDefault="001D5E66" w:rsidP="001D5E66">
            <w:pPr>
              <w:jc w:val="both"/>
              <w:rPr>
                <w:sz w:val="22"/>
                <w:szCs w:val="22"/>
              </w:rPr>
            </w:pPr>
            <w:r w:rsidRPr="00491A41">
              <w:rPr>
                <w:sz w:val="22"/>
                <w:szCs w:val="22"/>
              </w:rPr>
              <w:t>Odległości zostały właściwie opisane w pkt I.3 pkt 5 załącznika 1. Ponadto należy wskazać, że takie sformułowanie jest niezrozumiałe bowiem uwzględnienia jedynie szyny UIC S60 oraz podkłady strunobetonowe a należałoby wymienić również inne typy szyn i podkładów kolejowych. Ponadto niezrozumiałe jest przyjęcie wymiaru 2,80 m od osi toru. Usytuowanie korytek powinno wynikać z wymiarów skrajni budowli linii kolejowych oraz wymaganych wolnych przestrzeni poniżej główki szyny. Z przedstawionych względów proponuje się wykreślenie pkt 7 w części 1 w pkt 3 załącznika 1 do projektu rozporządzenia.</w:t>
            </w:r>
          </w:p>
        </w:tc>
        <w:tc>
          <w:tcPr>
            <w:tcW w:w="4050" w:type="dxa"/>
            <w:tcBorders>
              <w:top w:val="single" w:sz="4" w:space="0" w:color="auto"/>
              <w:left w:val="single" w:sz="4" w:space="0" w:color="auto"/>
              <w:bottom w:val="single" w:sz="4" w:space="0" w:color="auto"/>
              <w:right w:val="single" w:sz="4" w:space="0" w:color="auto"/>
            </w:tcBorders>
          </w:tcPr>
          <w:p w14:paraId="07491283" w14:textId="77777777" w:rsidR="001D5E66" w:rsidRPr="00491A41" w:rsidRDefault="00DC115F" w:rsidP="2531BF8E">
            <w:pPr>
              <w:jc w:val="both"/>
              <w:rPr>
                <w:rFonts w:eastAsia="Times New Roman"/>
                <w:sz w:val="22"/>
                <w:szCs w:val="22"/>
              </w:rPr>
            </w:pPr>
            <w:r w:rsidRPr="00491A41">
              <w:rPr>
                <w:rFonts w:eastAsia="Times New Roman"/>
                <w:sz w:val="22"/>
                <w:szCs w:val="22"/>
              </w:rPr>
              <w:t>Uwaga uwzględniona</w:t>
            </w:r>
          </w:p>
        </w:tc>
      </w:tr>
      <w:tr w:rsidR="00C46701" w:rsidRPr="00491A41" w14:paraId="6AC63BCB"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587D5EB9" w14:textId="77777777" w:rsidR="00C46701" w:rsidRPr="00491A41" w:rsidRDefault="00C46701"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5CA7B17A" w14:textId="77777777" w:rsidR="00C46701" w:rsidRPr="00491A41" w:rsidRDefault="00C46701" w:rsidP="4138D473">
            <w:pPr>
              <w:pStyle w:val="Tekstpodstawowy"/>
              <w:jc w:val="center"/>
              <w:rPr>
                <w:sz w:val="22"/>
                <w:szCs w:val="22"/>
              </w:rPr>
            </w:pPr>
            <w:r w:rsidRPr="00491A41">
              <w:rPr>
                <w:sz w:val="22"/>
                <w:szCs w:val="22"/>
              </w:rPr>
              <w:t>Załącznik nr 1 rozdz. I ust. 4 pkt 1</w:t>
            </w:r>
            <w:r w:rsidR="00A44178" w:rsidRPr="00491A41">
              <w:rPr>
                <w:sz w:val="22"/>
                <w:szCs w:val="22"/>
              </w:rPr>
              <w:t xml:space="preserve"> </w:t>
            </w:r>
            <w:r w:rsidR="00A44178" w:rsidRPr="00491A41">
              <w:rPr>
                <w:b/>
                <w:sz w:val="22"/>
                <w:szCs w:val="22"/>
              </w:rPr>
              <w:t>oraz</w:t>
            </w:r>
            <w:r w:rsidR="003E0D63" w:rsidRPr="00491A41">
              <w:rPr>
                <w:sz w:val="22"/>
                <w:szCs w:val="22"/>
              </w:rPr>
              <w:t xml:space="preserve"> </w:t>
            </w:r>
            <w:r w:rsidR="00A44178" w:rsidRPr="00491A41">
              <w:rPr>
                <w:sz w:val="22"/>
                <w:szCs w:val="22"/>
              </w:rPr>
              <w:t xml:space="preserve">rozdz. III </w:t>
            </w:r>
            <w:r w:rsidR="003E0D63" w:rsidRPr="00491A41">
              <w:rPr>
                <w:sz w:val="22"/>
                <w:szCs w:val="22"/>
              </w:rPr>
              <w:t>ust. 5 pkt 1</w:t>
            </w:r>
          </w:p>
          <w:p w14:paraId="28508018" w14:textId="77777777" w:rsidR="00C46701" w:rsidRPr="00491A41" w:rsidRDefault="00C46701" w:rsidP="4138D473">
            <w:pPr>
              <w:pStyle w:val="Tekstpodstawowy"/>
              <w:jc w:val="center"/>
              <w:rPr>
                <w:sz w:val="22"/>
                <w:szCs w:val="22"/>
              </w:rPr>
            </w:pPr>
          </w:p>
        </w:tc>
        <w:tc>
          <w:tcPr>
            <w:tcW w:w="933" w:type="dxa"/>
            <w:tcBorders>
              <w:top w:val="single" w:sz="4" w:space="0" w:color="auto"/>
              <w:left w:val="single" w:sz="4" w:space="0" w:color="auto"/>
              <w:bottom w:val="single" w:sz="4" w:space="0" w:color="auto"/>
              <w:right w:val="single" w:sz="4" w:space="0" w:color="auto"/>
            </w:tcBorders>
          </w:tcPr>
          <w:p w14:paraId="334EEC57" w14:textId="77777777" w:rsidR="00C46701" w:rsidRPr="00491A41" w:rsidRDefault="00C46701"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75CD945A" w14:textId="77777777" w:rsidR="00C46701" w:rsidRPr="00491A41" w:rsidRDefault="00C46701" w:rsidP="00C46701">
            <w:pPr>
              <w:jc w:val="both"/>
              <w:rPr>
                <w:sz w:val="22"/>
                <w:szCs w:val="22"/>
              </w:rPr>
            </w:pPr>
            <w:r w:rsidRPr="00491A41">
              <w:rPr>
                <w:sz w:val="22"/>
                <w:szCs w:val="22"/>
              </w:rPr>
              <w:t>Załącznik nr 1 rozdz. I ust. 4 pkt 1</w:t>
            </w:r>
            <w:r w:rsidRPr="00491A41">
              <w:rPr>
                <w:b/>
                <w:sz w:val="22"/>
                <w:szCs w:val="22"/>
              </w:rPr>
              <w:t xml:space="preserve"> - </w:t>
            </w:r>
            <w:r w:rsidRPr="00491A41">
              <w:rPr>
                <w:bCs/>
                <w:sz w:val="22"/>
                <w:szCs w:val="22"/>
              </w:rPr>
              <w:t>posłużono się wyrazami: „do stopki szyny”. Taka konstrukcja normy wynika z normy PN-T-45</w:t>
            </w:r>
            <w:r w:rsidR="003E0D63" w:rsidRPr="00491A41">
              <w:rPr>
                <w:bCs/>
                <w:sz w:val="22"/>
                <w:szCs w:val="22"/>
              </w:rPr>
              <w:t xml:space="preserve">002, co powoduje brak spójności </w:t>
            </w:r>
            <w:r w:rsidRPr="00491A41">
              <w:rPr>
                <w:bCs/>
                <w:sz w:val="22"/>
                <w:szCs w:val="22"/>
              </w:rPr>
              <w:t>tego</w:t>
            </w:r>
            <w:r w:rsidR="003E0D63" w:rsidRPr="00491A41">
              <w:rPr>
                <w:bCs/>
                <w:sz w:val="22"/>
                <w:szCs w:val="22"/>
              </w:rPr>
              <w:t xml:space="preserve"> </w:t>
            </w:r>
            <w:r w:rsidRPr="00491A41">
              <w:rPr>
                <w:bCs/>
                <w:sz w:val="22"/>
                <w:szCs w:val="22"/>
              </w:rPr>
              <w:t>ustępu z częścią I ust. 3 załącznika nr 1. Proponuję rozważenie dokonania ujednolicenia przyjętych</w:t>
            </w:r>
            <w:r w:rsidR="003E0D63" w:rsidRPr="00491A41">
              <w:rPr>
                <w:bCs/>
                <w:sz w:val="22"/>
                <w:szCs w:val="22"/>
              </w:rPr>
              <w:t xml:space="preserve"> </w:t>
            </w:r>
            <w:r w:rsidRPr="00491A41">
              <w:rPr>
                <w:bCs/>
                <w:sz w:val="22"/>
                <w:szCs w:val="22"/>
              </w:rPr>
              <w:t>pojęć w celu zachowania spójności w samej treści załącznika nr 1 do rozporządzenia oraz</w:t>
            </w:r>
            <w:r w:rsidR="005649DA" w:rsidRPr="00491A41">
              <w:rPr>
                <w:bCs/>
                <w:sz w:val="22"/>
                <w:szCs w:val="22"/>
              </w:rPr>
              <w:t xml:space="preserve"> </w:t>
            </w:r>
            <w:r w:rsidRPr="00491A41">
              <w:rPr>
                <w:bCs/>
                <w:sz w:val="22"/>
                <w:szCs w:val="22"/>
              </w:rPr>
              <w:t>zgodności z siatką pojęciową użytą w ustawie z dnia 28 marca 2003 r. o transporcie kolejowym.</w:t>
            </w:r>
          </w:p>
          <w:p w14:paraId="6AC13D39" w14:textId="77777777" w:rsidR="00C46701" w:rsidRPr="00491A41" w:rsidRDefault="00C46701" w:rsidP="00C46701">
            <w:pPr>
              <w:jc w:val="both"/>
              <w:rPr>
                <w:sz w:val="22"/>
                <w:szCs w:val="22"/>
              </w:rPr>
            </w:pPr>
            <w:r w:rsidRPr="00491A41">
              <w:rPr>
                <w:sz w:val="22"/>
                <w:szCs w:val="22"/>
              </w:rPr>
              <w:t>Poza tym</w:t>
            </w:r>
            <w:r w:rsidRPr="00491A41">
              <w:rPr>
                <w:b/>
                <w:sz w:val="22"/>
                <w:szCs w:val="22"/>
              </w:rPr>
              <w:t xml:space="preserve"> </w:t>
            </w:r>
            <w:r w:rsidRPr="00491A41">
              <w:rPr>
                <w:sz w:val="22"/>
                <w:szCs w:val="22"/>
              </w:rPr>
              <w:t xml:space="preserve">zasadne byłoby uwzględnienie w załączniku do rozporządzenia </w:t>
            </w:r>
            <w:r w:rsidRPr="00491A41">
              <w:rPr>
                <w:i/>
                <w:sz w:val="22"/>
                <w:szCs w:val="22"/>
              </w:rPr>
              <w:t>Wytycznych projektowania urządzeń obcych na oraz w drogowych obiektach inżynierskich</w:t>
            </w:r>
            <w:r w:rsidRPr="00491A41">
              <w:rPr>
                <w:sz w:val="22"/>
                <w:szCs w:val="22"/>
              </w:rPr>
              <w:t xml:space="preserve"> (WR-M-72), rekomendowanych do stosowania przez Ministra Infrastruktury, na podstawie art. 17 ust. 3 ustawy o drogach publicznych. Wytyczne dostępne są na stronie internetowej pod adresem </w:t>
            </w:r>
            <w:hyperlink r:id="rId11" w:history="1">
              <w:r w:rsidRPr="00491A41">
                <w:rPr>
                  <w:rStyle w:val="Hipercze"/>
                  <w:sz w:val="22"/>
                  <w:szCs w:val="22"/>
                </w:rPr>
                <w:t>https://www.gov.pl/web/infrastruktura/wr-m</w:t>
              </w:r>
            </w:hyperlink>
            <w:r w:rsidRPr="00491A41">
              <w:rPr>
                <w:sz w:val="22"/>
                <w:szCs w:val="22"/>
              </w:rPr>
              <w:t>.</w:t>
            </w:r>
          </w:p>
          <w:p w14:paraId="1256AFB7" w14:textId="77777777" w:rsidR="00C46701" w:rsidRPr="00491A41" w:rsidRDefault="00C46701" w:rsidP="001D5E66">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229FCA90" w14:textId="2BC5B562" w:rsidR="00C46701" w:rsidRPr="00491A41" w:rsidRDefault="00DC115F" w:rsidP="00C2518F">
            <w:pPr>
              <w:rPr>
                <w:rFonts w:eastAsia="Times New Roman"/>
                <w:sz w:val="22"/>
                <w:szCs w:val="22"/>
              </w:rPr>
            </w:pPr>
            <w:r w:rsidRPr="00491A41">
              <w:rPr>
                <w:rFonts w:eastAsia="Times New Roman"/>
                <w:sz w:val="22"/>
                <w:szCs w:val="22"/>
              </w:rPr>
              <w:t xml:space="preserve">Uwaga </w:t>
            </w:r>
            <w:r w:rsidR="005F3DE5" w:rsidRPr="00491A41">
              <w:rPr>
                <w:rFonts w:eastAsia="Times New Roman"/>
                <w:sz w:val="22"/>
                <w:szCs w:val="22"/>
              </w:rPr>
              <w:t>uwzględniona w</w:t>
            </w:r>
            <w:r w:rsidR="005649DA" w:rsidRPr="00491A41">
              <w:rPr>
                <w:rFonts w:eastAsia="Times New Roman"/>
                <w:sz w:val="22"/>
                <w:szCs w:val="22"/>
              </w:rPr>
              <w:t xml:space="preserve"> zakresie posługiwania się pojęciem „główka szyny” zamiast „stopka szyny”.</w:t>
            </w:r>
          </w:p>
          <w:p w14:paraId="0EAFA022" w14:textId="77777777" w:rsidR="00CB5027" w:rsidRDefault="00CB5027" w:rsidP="00E0752E">
            <w:pPr>
              <w:rPr>
                <w:rFonts w:eastAsia="Times New Roman"/>
                <w:sz w:val="22"/>
                <w:szCs w:val="22"/>
              </w:rPr>
            </w:pPr>
          </w:p>
          <w:p w14:paraId="029EDE45" w14:textId="77777777" w:rsidR="00CB5027" w:rsidRDefault="00CB5027" w:rsidP="00E0752E">
            <w:pPr>
              <w:rPr>
                <w:rFonts w:eastAsia="Times New Roman"/>
                <w:sz w:val="22"/>
                <w:szCs w:val="22"/>
              </w:rPr>
            </w:pPr>
          </w:p>
          <w:p w14:paraId="23C1AD19" w14:textId="77777777" w:rsidR="00CB5027" w:rsidRDefault="00CB5027" w:rsidP="00E0752E">
            <w:pPr>
              <w:rPr>
                <w:rFonts w:eastAsia="Times New Roman"/>
                <w:sz w:val="22"/>
                <w:szCs w:val="22"/>
              </w:rPr>
            </w:pPr>
          </w:p>
          <w:p w14:paraId="672AA9F0" w14:textId="79F1241B" w:rsidR="007F0A2D" w:rsidRPr="00491A41" w:rsidRDefault="00E0752E" w:rsidP="00E0752E">
            <w:pPr>
              <w:rPr>
                <w:rFonts w:eastAsia="Times New Roman"/>
                <w:sz w:val="22"/>
                <w:szCs w:val="22"/>
              </w:rPr>
            </w:pPr>
            <w:r>
              <w:rPr>
                <w:rFonts w:eastAsia="Times New Roman"/>
                <w:sz w:val="22"/>
                <w:szCs w:val="22"/>
              </w:rPr>
              <w:t xml:space="preserve">Uwaga </w:t>
            </w:r>
            <w:r w:rsidR="007D1C6B">
              <w:rPr>
                <w:rFonts w:eastAsia="Times New Roman"/>
                <w:sz w:val="22"/>
                <w:szCs w:val="22"/>
              </w:rPr>
              <w:t>wyjaśniona</w:t>
            </w:r>
            <w:r>
              <w:rPr>
                <w:rFonts w:eastAsia="Times New Roman"/>
                <w:sz w:val="22"/>
                <w:szCs w:val="22"/>
              </w:rPr>
              <w:t xml:space="preserve"> w zakresie wytycznych. </w:t>
            </w:r>
            <w:r w:rsidR="007F0A2D" w:rsidRPr="00491A41">
              <w:rPr>
                <w:rFonts w:eastAsia="Times New Roman"/>
                <w:sz w:val="22"/>
                <w:szCs w:val="22"/>
              </w:rPr>
              <w:t xml:space="preserve">Nie jest zasadne </w:t>
            </w:r>
            <w:r>
              <w:rPr>
                <w:rFonts w:eastAsia="Times New Roman"/>
                <w:sz w:val="22"/>
                <w:szCs w:val="22"/>
              </w:rPr>
              <w:t>bowiem</w:t>
            </w:r>
            <w:r w:rsidR="007815A9" w:rsidRPr="00491A41">
              <w:rPr>
                <w:rFonts w:eastAsia="Times New Roman"/>
                <w:sz w:val="22"/>
                <w:szCs w:val="22"/>
              </w:rPr>
              <w:t xml:space="preserve"> </w:t>
            </w:r>
            <w:r w:rsidR="005F3DE5" w:rsidRPr="00491A41">
              <w:rPr>
                <w:rFonts w:eastAsia="Times New Roman"/>
                <w:sz w:val="22"/>
                <w:szCs w:val="22"/>
              </w:rPr>
              <w:t>uw</w:t>
            </w:r>
            <w:r w:rsidR="005F3DE5">
              <w:rPr>
                <w:rFonts w:eastAsia="Times New Roman"/>
                <w:sz w:val="22"/>
                <w:szCs w:val="22"/>
              </w:rPr>
              <w:t>z</w:t>
            </w:r>
            <w:r w:rsidR="005F3DE5" w:rsidRPr="00491A41">
              <w:rPr>
                <w:rFonts w:eastAsia="Times New Roman"/>
                <w:sz w:val="22"/>
                <w:szCs w:val="22"/>
              </w:rPr>
              <w:t>ględn</w:t>
            </w:r>
            <w:r w:rsidR="005F3DE5">
              <w:rPr>
                <w:rFonts w:eastAsia="Times New Roman"/>
                <w:sz w:val="22"/>
                <w:szCs w:val="22"/>
              </w:rPr>
              <w:t>i</w:t>
            </w:r>
            <w:r w:rsidR="005F3DE5" w:rsidRPr="00491A41">
              <w:rPr>
                <w:rFonts w:eastAsia="Times New Roman"/>
                <w:sz w:val="22"/>
                <w:szCs w:val="22"/>
              </w:rPr>
              <w:t>enie</w:t>
            </w:r>
            <w:r w:rsidR="007F0A2D" w:rsidRPr="00491A41">
              <w:rPr>
                <w:rFonts w:eastAsia="Times New Roman"/>
                <w:sz w:val="22"/>
                <w:szCs w:val="22"/>
              </w:rPr>
              <w:t xml:space="preserve"> wytycznych Ministra </w:t>
            </w:r>
            <w:r w:rsidR="005F3DE5" w:rsidRPr="00491A41">
              <w:rPr>
                <w:rFonts w:eastAsia="Times New Roman"/>
                <w:sz w:val="22"/>
                <w:szCs w:val="22"/>
              </w:rPr>
              <w:t>Infrastruktury</w:t>
            </w:r>
            <w:r w:rsidR="007F0A2D" w:rsidRPr="00491A41">
              <w:rPr>
                <w:rFonts w:eastAsia="Times New Roman"/>
                <w:sz w:val="22"/>
                <w:szCs w:val="22"/>
              </w:rPr>
              <w:t xml:space="preserve">, </w:t>
            </w:r>
            <w:r w:rsidR="005F3DE5" w:rsidRPr="00491A41">
              <w:rPr>
                <w:rFonts w:eastAsia="Times New Roman"/>
                <w:sz w:val="22"/>
                <w:szCs w:val="22"/>
              </w:rPr>
              <w:t>które</w:t>
            </w:r>
            <w:r w:rsidR="007F0A2D" w:rsidRPr="00491A41">
              <w:rPr>
                <w:rFonts w:eastAsia="Times New Roman"/>
                <w:sz w:val="22"/>
                <w:szCs w:val="22"/>
              </w:rPr>
              <w:t xml:space="preserve"> maj</w:t>
            </w:r>
            <w:r w:rsidR="005649DA" w:rsidRPr="00491A41">
              <w:rPr>
                <w:rFonts w:eastAsia="Times New Roman"/>
                <w:sz w:val="22"/>
                <w:szCs w:val="22"/>
              </w:rPr>
              <w:t>ą</w:t>
            </w:r>
            <w:r w:rsidR="007F0A2D" w:rsidRPr="00491A41">
              <w:rPr>
                <w:rFonts w:eastAsia="Times New Roman"/>
                <w:sz w:val="22"/>
                <w:szCs w:val="22"/>
              </w:rPr>
              <w:t xml:space="preserve"> charakter </w:t>
            </w:r>
            <w:r w:rsidR="009547DC" w:rsidRPr="00491A41">
              <w:rPr>
                <w:rFonts w:eastAsia="Times New Roman"/>
                <w:sz w:val="22"/>
                <w:szCs w:val="22"/>
              </w:rPr>
              <w:t xml:space="preserve">aktu </w:t>
            </w:r>
            <w:r w:rsidR="007F0A2D" w:rsidRPr="00491A41">
              <w:rPr>
                <w:rFonts w:eastAsia="Times New Roman"/>
                <w:sz w:val="22"/>
                <w:szCs w:val="22"/>
              </w:rPr>
              <w:t>wewnętrzn</w:t>
            </w:r>
            <w:r w:rsidR="009547DC" w:rsidRPr="00491A41">
              <w:rPr>
                <w:rFonts w:eastAsia="Times New Roman"/>
                <w:sz w:val="22"/>
                <w:szCs w:val="22"/>
              </w:rPr>
              <w:t xml:space="preserve">ego i stanowią </w:t>
            </w:r>
            <w:r w:rsidR="005F3DE5" w:rsidRPr="00491A41">
              <w:rPr>
                <w:rFonts w:eastAsia="Times New Roman"/>
                <w:sz w:val="22"/>
                <w:szCs w:val="22"/>
              </w:rPr>
              <w:t>rekomendację</w:t>
            </w:r>
            <w:r w:rsidR="00613CE6" w:rsidRPr="00491A41">
              <w:rPr>
                <w:rFonts w:eastAsia="Times New Roman"/>
                <w:sz w:val="22"/>
                <w:szCs w:val="22"/>
              </w:rPr>
              <w:t xml:space="preserve"> Ministra</w:t>
            </w:r>
            <w:r w:rsidR="009547DC" w:rsidRPr="00491A41">
              <w:rPr>
                <w:rFonts w:eastAsia="Times New Roman"/>
                <w:sz w:val="22"/>
                <w:szCs w:val="22"/>
              </w:rPr>
              <w:t xml:space="preserve"> Infrastruktury.</w:t>
            </w:r>
          </w:p>
        </w:tc>
      </w:tr>
      <w:tr w:rsidR="00BD4774" w:rsidRPr="00491A41" w14:paraId="7BB40B9F"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51F0D242" w14:textId="77777777" w:rsidR="00BD4774" w:rsidRPr="00491A41" w:rsidRDefault="00BD4774"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1EBEFD07" w14:textId="77777777" w:rsidR="00BD4774" w:rsidRPr="00491A41" w:rsidRDefault="00BD4774" w:rsidP="4138D473">
            <w:pPr>
              <w:pStyle w:val="Tekstpodstawowy"/>
              <w:jc w:val="center"/>
              <w:rPr>
                <w:sz w:val="22"/>
                <w:szCs w:val="22"/>
              </w:rPr>
            </w:pPr>
            <w:r w:rsidRPr="00491A41">
              <w:rPr>
                <w:sz w:val="22"/>
                <w:szCs w:val="22"/>
              </w:rPr>
              <w:t>Załą</w:t>
            </w:r>
            <w:r w:rsidR="005053A0" w:rsidRPr="00491A41">
              <w:rPr>
                <w:sz w:val="22"/>
                <w:szCs w:val="22"/>
              </w:rPr>
              <w:t>cznik</w:t>
            </w:r>
          </w:p>
        </w:tc>
        <w:tc>
          <w:tcPr>
            <w:tcW w:w="933" w:type="dxa"/>
            <w:tcBorders>
              <w:top w:val="single" w:sz="4" w:space="0" w:color="auto"/>
              <w:left w:val="single" w:sz="4" w:space="0" w:color="auto"/>
              <w:bottom w:val="single" w:sz="4" w:space="0" w:color="auto"/>
              <w:right w:val="single" w:sz="4" w:space="0" w:color="auto"/>
            </w:tcBorders>
          </w:tcPr>
          <w:p w14:paraId="1FFDC139" w14:textId="77777777" w:rsidR="00BD4774" w:rsidRPr="00491A41" w:rsidRDefault="00BD4774" w:rsidP="4138D473">
            <w:pPr>
              <w:jc w:val="center"/>
              <w:rPr>
                <w:sz w:val="22"/>
                <w:szCs w:val="22"/>
              </w:rPr>
            </w:pPr>
            <w:r w:rsidRPr="00491A41">
              <w:rPr>
                <w:sz w:val="22"/>
                <w:szCs w:val="22"/>
              </w:rPr>
              <w:t>MSWiA</w:t>
            </w:r>
          </w:p>
        </w:tc>
        <w:tc>
          <w:tcPr>
            <w:tcW w:w="7938" w:type="dxa"/>
            <w:tcBorders>
              <w:top w:val="single" w:sz="4" w:space="0" w:color="auto"/>
              <w:left w:val="single" w:sz="4" w:space="0" w:color="auto"/>
              <w:bottom w:val="single" w:sz="4" w:space="0" w:color="auto"/>
              <w:right w:val="single" w:sz="4" w:space="0" w:color="auto"/>
            </w:tcBorders>
          </w:tcPr>
          <w:p w14:paraId="64EA6CB7" w14:textId="77777777" w:rsidR="00BD4774" w:rsidRPr="00491A41" w:rsidRDefault="00BD4774" w:rsidP="00BD4774">
            <w:pPr>
              <w:jc w:val="both"/>
              <w:rPr>
                <w:sz w:val="22"/>
                <w:szCs w:val="22"/>
                <w:lang w:eastAsia="en-US"/>
              </w:rPr>
            </w:pPr>
            <w:r w:rsidRPr="00491A41">
              <w:rPr>
                <w:b/>
                <w:sz w:val="22"/>
                <w:szCs w:val="22"/>
              </w:rPr>
              <w:t>w części I.4 oraz części III.5</w:t>
            </w:r>
            <w:r w:rsidRPr="00491A41">
              <w:rPr>
                <w:sz w:val="22"/>
                <w:szCs w:val="22"/>
              </w:rPr>
              <w:t xml:space="preserve"> określone w tabelach wymagania dotyczące zabezpieczenia telekomunikacyjnych obiektów budowanych w zależności od rodzaju drogowego obiektu inżynierskiego, w którym się one znajdują, powinny być skorelowane z wymaganiami, które określone zostały w projekcie rozporządzenia Ministra Infrastruktury w sprawie przepisów techniczno-budowlanych dotyczących dróg publicznych (projekt z dnia 16 czerwca 2021 r., etap: uzgodnienia międzyresortowe); </w:t>
            </w:r>
          </w:p>
          <w:p w14:paraId="10598D7D" w14:textId="77777777" w:rsidR="00BD4774" w:rsidRPr="00491A41" w:rsidRDefault="00BD4774" w:rsidP="00BD4774">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5695A231" w14:textId="2B82C79F" w:rsidR="00BD4774" w:rsidRDefault="00CB5027" w:rsidP="2531BF8E">
            <w:pPr>
              <w:jc w:val="both"/>
              <w:rPr>
                <w:rFonts w:eastAsia="Times New Roman"/>
                <w:sz w:val="22"/>
                <w:szCs w:val="22"/>
              </w:rPr>
            </w:pPr>
            <w:r>
              <w:rPr>
                <w:rFonts w:eastAsia="Times New Roman"/>
                <w:sz w:val="22"/>
                <w:szCs w:val="22"/>
              </w:rPr>
              <w:t>Wyjaśnienie</w:t>
            </w:r>
          </w:p>
          <w:p w14:paraId="5330E6C4" w14:textId="77777777" w:rsidR="00DD2666" w:rsidRPr="00491A41" w:rsidRDefault="00DD2666" w:rsidP="2531BF8E">
            <w:pPr>
              <w:jc w:val="both"/>
              <w:rPr>
                <w:rFonts w:eastAsia="Times New Roman"/>
                <w:sz w:val="22"/>
                <w:szCs w:val="22"/>
              </w:rPr>
            </w:pPr>
          </w:p>
          <w:p w14:paraId="574D3931" w14:textId="44A7E468" w:rsidR="00994560" w:rsidRPr="005C6C3E" w:rsidRDefault="00C2518F" w:rsidP="2531BF8E">
            <w:pPr>
              <w:jc w:val="both"/>
              <w:rPr>
                <w:rFonts w:eastAsia="Times New Roman"/>
                <w:sz w:val="22"/>
                <w:szCs w:val="22"/>
                <w:u w:val="single"/>
              </w:rPr>
            </w:pPr>
            <w:r w:rsidRPr="005C6C3E">
              <w:rPr>
                <w:rFonts w:eastAsia="Times New Roman"/>
                <w:sz w:val="22"/>
                <w:szCs w:val="22"/>
                <w:u w:val="single"/>
              </w:rPr>
              <w:t>Uwaga MSWiA zgłoszona wyłącznie w</w:t>
            </w:r>
            <w:r w:rsidR="00481B52">
              <w:rPr>
                <w:rFonts w:eastAsia="Times New Roman"/>
                <w:sz w:val="22"/>
                <w:szCs w:val="22"/>
                <w:u w:val="single"/>
              </w:rPr>
              <w:t> </w:t>
            </w:r>
            <w:r w:rsidRPr="005C6C3E">
              <w:rPr>
                <w:rFonts w:eastAsia="Times New Roman"/>
                <w:sz w:val="22"/>
                <w:szCs w:val="22"/>
                <w:u w:val="single"/>
              </w:rPr>
              <w:t>trybie roboczym.</w:t>
            </w:r>
            <w:r w:rsidR="00CC2483" w:rsidRPr="005C6C3E">
              <w:rPr>
                <w:rFonts w:eastAsia="Times New Roman"/>
                <w:sz w:val="22"/>
                <w:szCs w:val="22"/>
                <w:u w:val="single"/>
              </w:rPr>
              <w:t xml:space="preserve"> </w:t>
            </w:r>
          </w:p>
          <w:p w14:paraId="457C0AF7" w14:textId="4897E045" w:rsidR="00C2518F" w:rsidRPr="00491A41" w:rsidRDefault="00CC2483" w:rsidP="2531BF8E">
            <w:pPr>
              <w:jc w:val="both"/>
              <w:rPr>
                <w:rFonts w:eastAsia="Times New Roman"/>
                <w:sz w:val="22"/>
                <w:szCs w:val="22"/>
              </w:rPr>
            </w:pPr>
            <w:r w:rsidRPr="00491A41">
              <w:rPr>
                <w:rFonts w:eastAsia="Times New Roman"/>
                <w:sz w:val="22"/>
                <w:szCs w:val="22"/>
              </w:rPr>
              <w:t xml:space="preserve">Uwagi zgłoszone przez MI </w:t>
            </w:r>
            <w:r w:rsidR="007815A9" w:rsidRPr="00491A41">
              <w:rPr>
                <w:rFonts w:eastAsia="Times New Roman"/>
                <w:sz w:val="22"/>
                <w:szCs w:val="22"/>
              </w:rPr>
              <w:t xml:space="preserve">i uwzględnione w projekcie </w:t>
            </w:r>
            <w:r w:rsidRPr="00491A41">
              <w:rPr>
                <w:rFonts w:eastAsia="Times New Roman"/>
                <w:sz w:val="22"/>
                <w:szCs w:val="22"/>
              </w:rPr>
              <w:t>odnoszą się do tych kwestii.</w:t>
            </w:r>
          </w:p>
          <w:p w14:paraId="42BD856A" w14:textId="77777777" w:rsidR="00C2518F" w:rsidRPr="00491A41" w:rsidRDefault="00C2518F" w:rsidP="2531BF8E">
            <w:pPr>
              <w:jc w:val="both"/>
              <w:rPr>
                <w:rFonts w:eastAsia="Times New Roman"/>
                <w:sz w:val="22"/>
                <w:szCs w:val="22"/>
              </w:rPr>
            </w:pPr>
          </w:p>
        </w:tc>
      </w:tr>
      <w:tr w:rsidR="00E9678C" w:rsidRPr="00491A41" w14:paraId="5AB908BE"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274207E8" w14:textId="77777777" w:rsidR="00E9678C" w:rsidRPr="00491A41" w:rsidRDefault="00E9678C"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2B362946" w14:textId="0260C6EE" w:rsidR="00E9678C" w:rsidRPr="00491A41" w:rsidRDefault="00E9678C" w:rsidP="00E9678C">
            <w:pPr>
              <w:pStyle w:val="Tekstpodstawowy"/>
              <w:jc w:val="center"/>
              <w:rPr>
                <w:sz w:val="22"/>
                <w:szCs w:val="22"/>
              </w:rPr>
            </w:pPr>
            <w:r w:rsidRPr="00491A41">
              <w:rPr>
                <w:sz w:val="22"/>
                <w:szCs w:val="22"/>
              </w:rPr>
              <w:t>Załącznik nr 1 rozdz. II ust. 7 pkt 4</w:t>
            </w:r>
          </w:p>
        </w:tc>
        <w:tc>
          <w:tcPr>
            <w:tcW w:w="933" w:type="dxa"/>
            <w:tcBorders>
              <w:top w:val="single" w:sz="4" w:space="0" w:color="auto"/>
              <w:left w:val="single" w:sz="4" w:space="0" w:color="auto"/>
              <w:bottom w:val="single" w:sz="4" w:space="0" w:color="auto"/>
              <w:right w:val="single" w:sz="4" w:space="0" w:color="auto"/>
            </w:tcBorders>
          </w:tcPr>
          <w:p w14:paraId="57DA1BAC" w14:textId="40E7BD18" w:rsidR="00E9678C" w:rsidRPr="00491A41" w:rsidRDefault="00E9678C" w:rsidP="4138D473">
            <w:pPr>
              <w:jc w:val="center"/>
              <w:rPr>
                <w:sz w:val="22"/>
                <w:szCs w:val="22"/>
              </w:rPr>
            </w:pPr>
            <w:r w:rsidRPr="00491A41">
              <w:rPr>
                <w:sz w:val="22"/>
                <w:szCs w:val="22"/>
              </w:rPr>
              <w:t>MKiŚ</w:t>
            </w:r>
          </w:p>
        </w:tc>
        <w:tc>
          <w:tcPr>
            <w:tcW w:w="7938" w:type="dxa"/>
            <w:tcBorders>
              <w:top w:val="single" w:sz="4" w:space="0" w:color="auto"/>
              <w:left w:val="single" w:sz="4" w:space="0" w:color="auto"/>
              <w:bottom w:val="single" w:sz="4" w:space="0" w:color="auto"/>
              <w:right w:val="single" w:sz="4" w:space="0" w:color="auto"/>
            </w:tcBorders>
          </w:tcPr>
          <w:p w14:paraId="65648CFE" w14:textId="1FA58FA7" w:rsidR="00E9678C" w:rsidRPr="00491A41" w:rsidRDefault="00E9678C" w:rsidP="00E9678C">
            <w:pPr>
              <w:jc w:val="both"/>
              <w:rPr>
                <w:sz w:val="22"/>
                <w:szCs w:val="22"/>
              </w:rPr>
            </w:pPr>
            <w:r w:rsidRPr="00491A41">
              <w:rPr>
                <w:sz w:val="22"/>
                <w:szCs w:val="22"/>
              </w:rPr>
              <w:t>Co istotne, wydaje się, że przy pracach nad projektem niniejszego rozporządzenia kierowano się zamiarem odpowiedniego uwzględnienia przepisów innych aktów prawnych, które w sposób komplementarny zapewniają kompleksowość regulacji wydawanych na podstawie art. 7 ust. 2 ustawy z dnia 7 lipca 1994 r. Prawo budowlane (Dz. U. z 2020 r. poz. 1333 z późn. zm.). Na taki zamiar projektodawców wskazuje m.in. treść uzasadnienia projektu, gdzie wskazano, że zamiarem było uwzględnienie również przepisów rozporządzenia gazowego. Niemniej zwrócenia uwagi wymagają pewne rozbieżności, które powstały pomiędzy istniejącym stanem prawnym określonym przez rozporządzenia gazowe a projektem niniejszego rozporządzenia. Usunięcie tych rozbieżności jest kluczowe dla zapewnienia wewnętrznej spójności regulacji dotyczących projektowania gazociągów. Szczególnej uwagi wymaga propozycja zawarta w Załączniku nr 1 rozdziale II ust. 7 pkt 4 projektu. Przedmiotowa regulacja dotyczy kwestii szerokości stref kontrolowanych gazociągów w odniesieniu do ciśnienia nominalnego gazociągów. Wydaje się, że zamiarem projektodawcy było powtórzenie regulacji zawartej w Tabeli 1 Załącznika nr 2 rozporządzenia gazowego, przy uwzględnieniu podanych tam wartości dotyczących ciśnienia nominalnego gazociągu oraz średnicy gazociągu. Zwrócić należy uwagę, że Tabela 1 odnosi się wyłącznie do gazociągów wybudowanych przed dniem 12 grudnia 2001 r. lub dla których przed tym dniem wydano pozwolenie na budowę. Tym samym, propozycja znajdująca się w obecnym brzmieniu Załącznika nr 1 rozdział II ust. 7 pkt 4 projektu nie uwzględnia obowiązywania w systemie prawnym postanowień §10 ust. 6 rozporządzenia gazowego, który znajduje zastosowanie do gazociągów wybudowanych po 12 grudnia 2001 r. lub tych dla których wydano pozwolenie na budowę po tym dniu. Reguluje on w sposób odmienny zakres liczbowy w odniesieniu do maksymalnego ciśnienia roboczego gazociągów, a także szerokości stref kontrolowanych w porównaniu z tymi, które przewiduje projekt rozporządzenia (Załącznik nr 1 rozdział II ust. 7 pkt 4). Co więcej, analizowany przepis zawiera błędne odniesienie do zakresu średnic gazociągu, nie odwzorowując w podanym zakresie treści Tabeli 1 zawartej w Załączniku nr 2 rozporządzenia gazowego. Tak sformułowany przepis nie pozwala w sposób jednoznaczny określić szerokości strefy kontrolowanej, a co za tym idzie uniemożliwia zastosowanie się do jego dyspozycji.</w:t>
            </w:r>
          </w:p>
        </w:tc>
        <w:tc>
          <w:tcPr>
            <w:tcW w:w="4050" w:type="dxa"/>
            <w:tcBorders>
              <w:top w:val="single" w:sz="4" w:space="0" w:color="auto"/>
              <w:left w:val="single" w:sz="4" w:space="0" w:color="auto"/>
              <w:bottom w:val="single" w:sz="4" w:space="0" w:color="auto"/>
              <w:right w:val="single" w:sz="4" w:space="0" w:color="auto"/>
            </w:tcBorders>
          </w:tcPr>
          <w:p w14:paraId="197E3C75" w14:textId="28D1A35E" w:rsidR="00FA2304" w:rsidRPr="00491A41" w:rsidRDefault="00FA2304" w:rsidP="2531BF8E">
            <w:pPr>
              <w:jc w:val="both"/>
              <w:rPr>
                <w:rFonts w:eastAsia="Times New Roman"/>
                <w:sz w:val="22"/>
                <w:szCs w:val="22"/>
              </w:rPr>
            </w:pPr>
            <w:r w:rsidRPr="00491A41">
              <w:rPr>
                <w:rFonts w:eastAsia="Times New Roman"/>
                <w:sz w:val="22"/>
                <w:szCs w:val="22"/>
              </w:rPr>
              <w:t>Uwaga uwzględniona.</w:t>
            </w:r>
          </w:p>
          <w:p w14:paraId="5D81E19C" w14:textId="0B135C62" w:rsidR="00E9678C" w:rsidRPr="00491A41" w:rsidDel="00C2518F" w:rsidRDefault="00CB7A15" w:rsidP="2531BF8E">
            <w:pPr>
              <w:jc w:val="both"/>
              <w:rPr>
                <w:rFonts w:eastAsia="Times New Roman"/>
                <w:sz w:val="22"/>
                <w:szCs w:val="22"/>
              </w:rPr>
            </w:pPr>
            <w:r w:rsidRPr="00491A41">
              <w:rPr>
                <w:rFonts w:eastAsia="Times New Roman"/>
                <w:sz w:val="22"/>
                <w:szCs w:val="22"/>
              </w:rPr>
              <w:t xml:space="preserve">W celu uniknięcia niejasności </w:t>
            </w:r>
            <w:r w:rsidR="00EC2105" w:rsidRPr="00491A41">
              <w:rPr>
                <w:rFonts w:eastAsia="Times New Roman"/>
                <w:sz w:val="22"/>
                <w:szCs w:val="22"/>
              </w:rPr>
              <w:t>oraz powtó</w:t>
            </w:r>
            <w:r w:rsidR="007E3539" w:rsidRPr="00491A41">
              <w:rPr>
                <w:rFonts w:eastAsia="Times New Roman"/>
                <w:sz w:val="22"/>
                <w:szCs w:val="22"/>
              </w:rPr>
              <w:t>r</w:t>
            </w:r>
            <w:r w:rsidR="00EC2105" w:rsidRPr="00491A41">
              <w:rPr>
                <w:rFonts w:eastAsia="Times New Roman"/>
                <w:sz w:val="22"/>
                <w:szCs w:val="22"/>
              </w:rPr>
              <w:t>z</w:t>
            </w:r>
            <w:r w:rsidR="007E3539" w:rsidRPr="00491A41">
              <w:rPr>
                <w:rFonts w:eastAsia="Times New Roman"/>
                <w:sz w:val="22"/>
                <w:szCs w:val="22"/>
              </w:rPr>
              <w:t>e</w:t>
            </w:r>
            <w:r w:rsidR="00EC2105" w:rsidRPr="00491A41">
              <w:rPr>
                <w:rFonts w:eastAsia="Times New Roman"/>
                <w:sz w:val="22"/>
                <w:szCs w:val="22"/>
              </w:rPr>
              <w:t xml:space="preserve">ń treści innych przepisów </w:t>
            </w:r>
            <w:r w:rsidRPr="00491A41">
              <w:rPr>
                <w:rFonts w:eastAsia="Times New Roman"/>
                <w:sz w:val="22"/>
                <w:szCs w:val="22"/>
              </w:rPr>
              <w:t>w</w:t>
            </w:r>
            <w:r w:rsidR="00481B52">
              <w:rPr>
                <w:rFonts w:eastAsia="Times New Roman"/>
                <w:sz w:val="22"/>
                <w:szCs w:val="22"/>
              </w:rPr>
              <w:t> </w:t>
            </w:r>
            <w:r w:rsidRPr="00491A41">
              <w:rPr>
                <w:rFonts w:eastAsia="Times New Roman"/>
                <w:sz w:val="22"/>
                <w:szCs w:val="22"/>
              </w:rPr>
              <w:t>projekcie zawarto przepis odsyłający do przepisów „ro</w:t>
            </w:r>
            <w:r w:rsidR="00EC2105" w:rsidRPr="00491A41">
              <w:rPr>
                <w:rFonts w:eastAsia="Times New Roman"/>
                <w:sz w:val="22"/>
                <w:szCs w:val="22"/>
              </w:rPr>
              <w:t>z</w:t>
            </w:r>
            <w:r w:rsidRPr="00491A41">
              <w:rPr>
                <w:rFonts w:eastAsia="Times New Roman"/>
                <w:sz w:val="22"/>
                <w:szCs w:val="22"/>
              </w:rPr>
              <w:t>porządzenia gazowego” w</w:t>
            </w:r>
            <w:r w:rsidR="00481B52">
              <w:rPr>
                <w:rFonts w:eastAsia="Times New Roman"/>
                <w:sz w:val="22"/>
                <w:szCs w:val="22"/>
              </w:rPr>
              <w:t> </w:t>
            </w:r>
            <w:r w:rsidRPr="00491A41">
              <w:rPr>
                <w:rFonts w:eastAsia="Times New Roman"/>
                <w:sz w:val="22"/>
                <w:szCs w:val="22"/>
              </w:rPr>
              <w:t>zakresie stref kontrolowanych.</w:t>
            </w:r>
          </w:p>
        </w:tc>
      </w:tr>
      <w:tr w:rsidR="00E9678C" w:rsidRPr="00491A41" w14:paraId="3990D34A"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1017AC78" w14:textId="77777777" w:rsidR="00E9678C" w:rsidRPr="00491A41" w:rsidRDefault="00E9678C"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774027D8" w14:textId="50665066" w:rsidR="00E9678C" w:rsidRPr="00491A41" w:rsidRDefault="00E9678C" w:rsidP="4138D473">
            <w:pPr>
              <w:pStyle w:val="Tekstpodstawowy"/>
              <w:jc w:val="center"/>
              <w:rPr>
                <w:sz w:val="22"/>
                <w:szCs w:val="22"/>
              </w:rPr>
            </w:pPr>
            <w:r w:rsidRPr="00491A41">
              <w:rPr>
                <w:sz w:val="22"/>
                <w:szCs w:val="22"/>
              </w:rPr>
              <w:t>Załącznik nr 1 rozdz. II ust. 7 pkt 5</w:t>
            </w:r>
          </w:p>
        </w:tc>
        <w:tc>
          <w:tcPr>
            <w:tcW w:w="933" w:type="dxa"/>
            <w:tcBorders>
              <w:top w:val="single" w:sz="4" w:space="0" w:color="auto"/>
              <w:left w:val="single" w:sz="4" w:space="0" w:color="auto"/>
              <w:bottom w:val="single" w:sz="4" w:space="0" w:color="auto"/>
              <w:right w:val="single" w:sz="4" w:space="0" w:color="auto"/>
            </w:tcBorders>
          </w:tcPr>
          <w:p w14:paraId="734588C5" w14:textId="7C2569BE" w:rsidR="00E9678C" w:rsidRPr="00491A41" w:rsidRDefault="00E9678C" w:rsidP="4138D473">
            <w:pPr>
              <w:jc w:val="center"/>
              <w:rPr>
                <w:sz w:val="22"/>
                <w:szCs w:val="22"/>
              </w:rPr>
            </w:pPr>
            <w:r w:rsidRPr="00491A41">
              <w:rPr>
                <w:sz w:val="22"/>
                <w:szCs w:val="22"/>
              </w:rPr>
              <w:t>MKiŚ</w:t>
            </w:r>
          </w:p>
        </w:tc>
        <w:tc>
          <w:tcPr>
            <w:tcW w:w="7938" w:type="dxa"/>
            <w:tcBorders>
              <w:top w:val="single" w:sz="4" w:space="0" w:color="auto"/>
              <w:left w:val="single" w:sz="4" w:space="0" w:color="auto"/>
              <w:bottom w:val="single" w:sz="4" w:space="0" w:color="auto"/>
              <w:right w:val="single" w:sz="4" w:space="0" w:color="auto"/>
            </w:tcBorders>
          </w:tcPr>
          <w:p w14:paraId="0E23BE4A" w14:textId="77777777" w:rsidR="00E9678C" w:rsidRPr="00491A41" w:rsidRDefault="00E9678C" w:rsidP="00A44178">
            <w:pPr>
              <w:jc w:val="both"/>
              <w:rPr>
                <w:sz w:val="22"/>
                <w:szCs w:val="22"/>
              </w:rPr>
            </w:pPr>
            <w:r w:rsidRPr="00491A41">
              <w:rPr>
                <w:sz w:val="22"/>
                <w:szCs w:val="22"/>
              </w:rPr>
              <w:t xml:space="preserve">Ponadto w niektórych przypadkach projekt rozporządzenia rozbudowuje przepisy rozporządzenia gazowego, co jest zjawiskiem niepożądanym w świetle ogólnych zasad systemowych, w tym przede wszystkim przejrzystości regulacji. Między innymi, przepis Załącznika nr 1 rozdział II ust. 7 pkt 5 projektu określa wymaganą odległość przy zbliżeniu gazociągu z telekomunikacyjną linią kablową nadziemną. Regulacja przewidziana dla gazociągu o maksymalnym ciśnieniu roboczym (MOP) do 0,5 MPa włącznie (lit. a) oraz dla gazociągu o maksymalnym ciśnieniu roboczym (MOP) powyżej 0,5 MPa, (lit. b) stanowi powtórzenie regulacji zawartej w § 18 ust. 1 rozporządzenia gazowego. Jednakże aktualnie obowiązujące rozporządzenie gazowe nie reguluje w </w:t>
            </w:r>
            <w:r w:rsidRPr="00491A41">
              <w:rPr>
                <w:sz w:val="22"/>
                <w:szCs w:val="22"/>
              </w:rPr>
              <w:lastRenderedPageBreak/>
              <w:t>podanej sytuacji odmiennych odległości dla gazociągu o maksymalnym ciśnieniu roboczym (MOP) powyżej 1,6 MPa – taką regulację zawiera projekt niniejszego rozporządzenia (lit. c).</w:t>
            </w:r>
          </w:p>
          <w:p w14:paraId="4D9CDEC8" w14:textId="3D7C7D9A" w:rsidR="00E9678C" w:rsidRPr="00491A41" w:rsidRDefault="00E9678C" w:rsidP="00A44178">
            <w:pPr>
              <w:jc w:val="both"/>
              <w:rPr>
                <w:sz w:val="22"/>
                <w:szCs w:val="22"/>
              </w:rPr>
            </w:pPr>
            <w:r w:rsidRPr="00491A41">
              <w:rPr>
                <w:sz w:val="22"/>
                <w:szCs w:val="22"/>
              </w:rPr>
              <w:t>W związku z powyższym zasadna jest rezygnacja z uregulowania kwestii związanych z budową gazociągów w niniejszym projekcie. Jeżeli natomiast niektóre przepisy rozporządzenia technicznego gazowego budzą wątpliwości to Ministerstwo Klimatu i Środowiska jest otwarte na dyskusję w ramach prowadzonych obecnie prac nad nowelizacją rozporządzenia technicznego gazowego. Takie rozwiązanie pozwoli na zachowanie przejrzystości obowiązujących przepisów przy jednoczesnym uwzględnieniu wszystkich interesów i potrzeb.</w:t>
            </w:r>
          </w:p>
        </w:tc>
        <w:tc>
          <w:tcPr>
            <w:tcW w:w="4050" w:type="dxa"/>
            <w:tcBorders>
              <w:top w:val="single" w:sz="4" w:space="0" w:color="auto"/>
              <w:left w:val="single" w:sz="4" w:space="0" w:color="auto"/>
              <w:bottom w:val="single" w:sz="4" w:space="0" w:color="auto"/>
              <w:right w:val="single" w:sz="4" w:space="0" w:color="auto"/>
            </w:tcBorders>
          </w:tcPr>
          <w:p w14:paraId="161B8A2E" w14:textId="1611DC66" w:rsidR="00E9678C" w:rsidRPr="00491A41" w:rsidRDefault="00CB7A15" w:rsidP="2531BF8E">
            <w:pPr>
              <w:jc w:val="both"/>
              <w:rPr>
                <w:rFonts w:eastAsia="Times New Roman"/>
                <w:sz w:val="22"/>
                <w:szCs w:val="22"/>
              </w:rPr>
            </w:pPr>
            <w:r w:rsidRPr="00491A41">
              <w:rPr>
                <w:rFonts w:eastAsia="Times New Roman"/>
                <w:sz w:val="22"/>
                <w:szCs w:val="22"/>
              </w:rPr>
              <w:lastRenderedPageBreak/>
              <w:t>Uwaga uwzględniona</w:t>
            </w:r>
          </w:p>
        </w:tc>
      </w:tr>
      <w:tr w:rsidR="001D5E66" w:rsidRPr="00491A41" w14:paraId="4B590D95"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452EC3FA" w14:textId="77777777" w:rsidR="001D5E66" w:rsidRPr="00491A41" w:rsidRDefault="001D5E66"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2E213958" w14:textId="77777777" w:rsidR="001D5E66" w:rsidRPr="00491A41" w:rsidRDefault="00A44178" w:rsidP="4138D473">
            <w:pPr>
              <w:pStyle w:val="Tekstpodstawowy"/>
              <w:jc w:val="center"/>
              <w:rPr>
                <w:sz w:val="22"/>
                <w:szCs w:val="22"/>
              </w:rPr>
            </w:pPr>
            <w:r w:rsidRPr="00491A41">
              <w:rPr>
                <w:sz w:val="22"/>
                <w:szCs w:val="22"/>
              </w:rPr>
              <w:t>Załącznik nr 1 rozdz. III</w:t>
            </w:r>
          </w:p>
        </w:tc>
        <w:tc>
          <w:tcPr>
            <w:tcW w:w="933" w:type="dxa"/>
            <w:tcBorders>
              <w:top w:val="single" w:sz="4" w:space="0" w:color="auto"/>
              <w:left w:val="single" w:sz="4" w:space="0" w:color="auto"/>
              <w:bottom w:val="single" w:sz="4" w:space="0" w:color="auto"/>
              <w:right w:val="single" w:sz="4" w:space="0" w:color="auto"/>
            </w:tcBorders>
          </w:tcPr>
          <w:p w14:paraId="4BA1B18C" w14:textId="77777777" w:rsidR="001D5E66" w:rsidRPr="00491A41" w:rsidRDefault="00A44178"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152513C4" w14:textId="77777777" w:rsidR="00A44178" w:rsidRPr="00491A41" w:rsidRDefault="00A44178" w:rsidP="00A44178">
            <w:pPr>
              <w:jc w:val="both"/>
              <w:rPr>
                <w:sz w:val="22"/>
                <w:szCs w:val="22"/>
              </w:rPr>
            </w:pPr>
            <w:r w:rsidRPr="00491A41">
              <w:rPr>
                <w:b/>
                <w:sz w:val="22"/>
                <w:szCs w:val="22"/>
              </w:rPr>
              <w:t>Załącznik nr 1 rozdz. III</w:t>
            </w:r>
            <w:r w:rsidRPr="00491A41">
              <w:rPr>
                <w:sz w:val="22"/>
                <w:szCs w:val="22"/>
              </w:rPr>
              <w:t xml:space="preserve"> pn. Usytuowanie i warunki techniczne, jakim powinna odpowiadać kanalizacja kablowa oraz telekomunikacyjne linie kablowe w przypadku skrzyżowań z innymi obiektami budowlanymi i śródlądowymi wodami powierzchniowymi, w ust. 13 pkt 2 lit. c, określono warunek budowy telekomunikacyjnej linii kablowej na skrzyżowaniach ze śródlądowymi drogami powierzchniowymi polegający na oznaczeniu skrzyżowania znakami </w:t>
            </w:r>
            <w:r w:rsidRPr="00491A41">
              <w:rPr>
                <w:i/>
                <w:sz w:val="22"/>
                <w:szCs w:val="22"/>
              </w:rPr>
              <w:t>o zakazie kotwiczenia lub wleczenia kotwicy</w:t>
            </w:r>
            <w:r w:rsidRPr="00491A41">
              <w:rPr>
                <w:sz w:val="22"/>
                <w:szCs w:val="22"/>
              </w:rPr>
              <w:t xml:space="preserve"> dobrze widocznymi ze środka toru wodnego, ustawionymi na każdym brzegu w odległości nie większej niż 50 m od kanalizacji kablowej w górę i w dół drogi wodnej. Proponuję doprecyzowanie tego warunku w zakresie:</w:t>
            </w:r>
          </w:p>
          <w:p w14:paraId="4A73F9C1" w14:textId="77777777" w:rsidR="00A44178" w:rsidRPr="00491A41" w:rsidRDefault="00A44178" w:rsidP="00A44178">
            <w:pPr>
              <w:jc w:val="both"/>
              <w:rPr>
                <w:sz w:val="22"/>
                <w:szCs w:val="22"/>
              </w:rPr>
            </w:pPr>
            <w:r w:rsidRPr="00491A41">
              <w:rPr>
                <w:b/>
                <w:sz w:val="22"/>
                <w:szCs w:val="22"/>
              </w:rPr>
              <w:t xml:space="preserve">a) </w:t>
            </w:r>
            <w:r w:rsidRPr="00491A41">
              <w:rPr>
                <w:sz w:val="22"/>
                <w:szCs w:val="22"/>
              </w:rPr>
              <w:t>maksymalnej odległości znaku żeglugowego od skrzyżowania,</w:t>
            </w:r>
          </w:p>
          <w:p w14:paraId="5E4139C0" w14:textId="77777777" w:rsidR="00A44178" w:rsidRPr="00491A41" w:rsidRDefault="00A44178" w:rsidP="00A44178">
            <w:pPr>
              <w:jc w:val="both"/>
              <w:rPr>
                <w:sz w:val="22"/>
                <w:szCs w:val="22"/>
              </w:rPr>
            </w:pPr>
            <w:r w:rsidRPr="00491A41">
              <w:rPr>
                <w:b/>
                <w:sz w:val="22"/>
                <w:szCs w:val="22"/>
              </w:rPr>
              <w:t>b)</w:t>
            </w:r>
            <w:r w:rsidRPr="00491A41">
              <w:rPr>
                <w:sz w:val="22"/>
                <w:szCs w:val="22"/>
              </w:rPr>
              <w:t xml:space="preserve"> możliwości stosowania w wyjątkowych przypadkach oznakowania pływającego,</w:t>
            </w:r>
          </w:p>
          <w:p w14:paraId="07517663" w14:textId="77777777" w:rsidR="00A44178" w:rsidRPr="00491A41" w:rsidRDefault="00A44178" w:rsidP="00A44178">
            <w:pPr>
              <w:jc w:val="both"/>
              <w:rPr>
                <w:sz w:val="22"/>
                <w:szCs w:val="22"/>
              </w:rPr>
            </w:pPr>
            <w:r w:rsidRPr="00491A41">
              <w:rPr>
                <w:b/>
                <w:sz w:val="22"/>
                <w:szCs w:val="22"/>
              </w:rPr>
              <w:t>c)</w:t>
            </w:r>
            <w:r w:rsidRPr="00491A41">
              <w:rPr>
                <w:sz w:val="22"/>
                <w:szCs w:val="22"/>
              </w:rPr>
              <w:t xml:space="preserve"> zastosowanie pełnej nazwy znaku A. 6 zakaz kotwiczenia, wleczenia kotwicy, łańcucha lub liny.</w:t>
            </w:r>
          </w:p>
          <w:p w14:paraId="5B375C33" w14:textId="77777777" w:rsidR="00A44178" w:rsidRPr="00491A41" w:rsidRDefault="00A44178" w:rsidP="00A44178">
            <w:pPr>
              <w:jc w:val="both"/>
              <w:rPr>
                <w:sz w:val="22"/>
                <w:szCs w:val="22"/>
              </w:rPr>
            </w:pPr>
            <w:r w:rsidRPr="00491A41">
              <w:rPr>
                <w:b/>
                <w:sz w:val="22"/>
                <w:szCs w:val="22"/>
              </w:rPr>
              <w:t>Ad. a.</w:t>
            </w:r>
            <w:r w:rsidRPr="00491A41">
              <w:rPr>
                <w:sz w:val="22"/>
                <w:szCs w:val="22"/>
              </w:rPr>
              <w:t xml:space="preserve"> Określanie w projekcie rozporządzenia tylko maksymalnej odległości znaku żeglugowego od skrzyżowania telekomunikacyjnych linii kablowych ze śródlądowymi drogami wodnymi jest niezasadne, jeżeli nie pozostawi się również możliwości dostosowania tej odległości w wyjątkowych przypadkach uzasadnionych przepisami bezpiecznej żeglugi, do warunków lokalnych istniejących na drodze wodnej.  Dla przykładu, na drodze wodnej z dużym przepływem odległość 50 m dla statków płynących w dół drogi wodnej może być niewystarczająca.</w:t>
            </w:r>
          </w:p>
          <w:p w14:paraId="75D8FF1E" w14:textId="23F8AC7A" w:rsidR="00A44178" w:rsidRPr="00491A41" w:rsidRDefault="00A44178" w:rsidP="00A44178">
            <w:pPr>
              <w:jc w:val="both"/>
              <w:rPr>
                <w:sz w:val="22"/>
                <w:szCs w:val="22"/>
              </w:rPr>
            </w:pPr>
            <w:r w:rsidRPr="00491A41">
              <w:rPr>
                <w:b/>
                <w:sz w:val="22"/>
                <w:szCs w:val="22"/>
              </w:rPr>
              <w:t>Ad. b.</w:t>
            </w:r>
            <w:r w:rsidRPr="00491A41">
              <w:rPr>
                <w:sz w:val="22"/>
                <w:szCs w:val="22"/>
              </w:rPr>
              <w:t xml:space="preserve"> Należy również dopuścić w wyjątkowych przypadkach możliwość stosowania oznakowania pływającego, a nie tylko brzegowego, z uwagi na fakt, że przy np. szerszych akwenach oznakowanie brzegowe nie będzie widoczne ze szlaku żeglug</w:t>
            </w:r>
            <w:r w:rsidR="005C6C3E">
              <w:rPr>
                <w:sz w:val="22"/>
                <w:szCs w:val="22"/>
              </w:rPr>
              <w:t xml:space="preserve">owego, który będzie przebiegał </w:t>
            </w:r>
            <w:r w:rsidRPr="00491A41">
              <w:rPr>
                <w:sz w:val="22"/>
                <w:szCs w:val="22"/>
              </w:rPr>
              <w:t>w znacznej odległości od brzegu. Stosowanie oznakowania pływającego jest powszechną praktyką stosowaną w oznakowaniu dróg wodnych, uzasadnioną szczególnie na szerszych akwenach. Podkreślenia przy tym wymaga, że zgodnie z art. 43 ust. 5 us</w:t>
            </w:r>
            <w:r w:rsidR="005C6C3E">
              <w:rPr>
                <w:sz w:val="22"/>
                <w:szCs w:val="22"/>
              </w:rPr>
              <w:t xml:space="preserve">tawy z dnia 21 grudnia 2000 r. </w:t>
            </w:r>
            <w:r w:rsidRPr="00491A41">
              <w:rPr>
                <w:sz w:val="22"/>
                <w:szCs w:val="22"/>
              </w:rPr>
              <w:t xml:space="preserve">o żegludze śródlądowej (Dz. U.  z 2020 r. poz. 1863) oznakowanie nawigacyjne w portach oraz urządzeń, budowli i linii przesyłowych krzyżujących się z drogą wodną należy do ich </w:t>
            </w:r>
            <w:r w:rsidRPr="00491A41">
              <w:rPr>
                <w:sz w:val="22"/>
                <w:szCs w:val="22"/>
              </w:rPr>
              <w:lastRenderedPageBreak/>
              <w:t>właścicieli. Sposób oznakowania należy uzgodnić z administracją drogi wodnej. W ramach przedmiotowych uzgodnień administracja drogi wodnej dba o prawidłowy wybór miejsca i sposobu oznakowania. Ponadto wykonawca danej inwestycji jest zobligowany przedstawić administracji drogi wodnej plan oznakowania nawigacyjnego celem uzyskania uzgodnienia.</w:t>
            </w:r>
          </w:p>
          <w:p w14:paraId="20C02600" w14:textId="77777777" w:rsidR="00A44178" w:rsidRPr="00491A41" w:rsidRDefault="00A44178" w:rsidP="00A44178">
            <w:pPr>
              <w:jc w:val="both"/>
              <w:rPr>
                <w:sz w:val="22"/>
                <w:szCs w:val="22"/>
              </w:rPr>
            </w:pPr>
            <w:r w:rsidRPr="00491A41">
              <w:rPr>
                <w:b/>
                <w:sz w:val="22"/>
                <w:szCs w:val="22"/>
              </w:rPr>
              <w:t>Ad. c.</w:t>
            </w:r>
            <w:r w:rsidRPr="00491A41">
              <w:rPr>
                <w:sz w:val="22"/>
                <w:szCs w:val="22"/>
              </w:rPr>
              <w:t xml:space="preserve"> Propozycja zmiany przepisu w części dotyczącej nazwy znaku wynika z konieczności jego dostosowania do nazwy stosowanej w § 6 ust. 18 pkt 1 rozporządzenia Ministra Infrastruktury z dnia 28 kwietnia 2003 r. w sprawie przepisów żeglugowych na śródlądowych drogach wodnych (Dz. U. poz. 2072), zgodnie z którym pełna nazwa znaku A. 6 wymienionego w projektowanym przepisie brzmi „zakaz kotwiczenia, wleczenia kotwicy, łańcucha lub liny”.</w:t>
            </w:r>
          </w:p>
          <w:p w14:paraId="067E8A79" w14:textId="77777777" w:rsidR="00A44178" w:rsidRPr="00491A41" w:rsidRDefault="00A44178" w:rsidP="00A44178">
            <w:pPr>
              <w:jc w:val="both"/>
              <w:rPr>
                <w:sz w:val="22"/>
                <w:szCs w:val="22"/>
              </w:rPr>
            </w:pPr>
            <w:r w:rsidRPr="00491A41">
              <w:rPr>
                <w:sz w:val="22"/>
                <w:szCs w:val="22"/>
              </w:rPr>
              <w:t xml:space="preserve">W związku z powyższymi uwagami lit. c w rozdziale III w ust. 13 w pkt 2 powinna otrzymać następujące brzmienie: </w:t>
            </w:r>
          </w:p>
          <w:p w14:paraId="3F92E779" w14:textId="77777777" w:rsidR="00A44178" w:rsidRPr="00491A41" w:rsidRDefault="00A44178" w:rsidP="00A44178">
            <w:pPr>
              <w:jc w:val="both"/>
              <w:rPr>
                <w:sz w:val="22"/>
                <w:szCs w:val="22"/>
              </w:rPr>
            </w:pPr>
            <w:r w:rsidRPr="00491A41">
              <w:rPr>
                <w:sz w:val="22"/>
                <w:szCs w:val="22"/>
              </w:rPr>
              <w:t xml:space="preserve">„c) oznaczenie skrzyżowania znakami </w:t>
            </w:r>
            <w:r w:rsidRPr="00491A41">
              <w:rPr>
                <w:b/>
                <w:sz w:val="22"/>
                <w:szCs w:val="22"/>
              </w:rPr>
              <w:t>pływającymi lub brzegowymi</w:t>
            </w:r>
            <w:r w:rsidRPr="00491A41">
              <w:rPr>
                <w:sz w:val="22"/>
                <w:szCs w:val="22"/>
              </w:rPr>
              <w:t xml:space="preserve"> o zakazie kotwiczenia lub wleczenia kotwicy, </w:t>
            </w:r>
            <w:r w:rsidRPr="00491A41">
              <w:rPr>
                <w:b/>
                <w:sz w:val="22"/>
                <w:szCs w:val="22"/>
              </w:rPr>
              <w:t>łańcucha lub liny</w:t>
            </w:r>
            <w:r w:rsidRPr="00491A41">
              <w:rPr>
                <w:sz w:val="22"/>
                <w:szCs w:val="22"/>
              </w:rPr>
              <w:t xml:space="preserve">, dobrze widocznymi ze środka toru wodnego, ustawionymi w odległości nie większej niż 50 m od kanalizacji kablowej w górę i w dół drogi wodnej </w:t>
            </w:r>
            <w:r w:rsidRPr="00491A41">
              <w:rPr>
                <w:b/>
                <w:sz w:val="22"/>
                <w:szCs w:val="22"/>
              </w:rPr>
              <w:t>chyba, że przepisy bezpiecznej żeglugi uzasadniają umiejscowienie znaku w innej odległości</w:t>
            </w:r>
            <w:r w:rsidRPr="00491A41">
              <w:rPr>
                <w:sz w:val="22"/>
                <w:szCs w:val="22"/>
              </w:rPr>
              <w:t>”.</w:t>
            </w:r>
          </w:p>
          <w:p w14:paraId="01C6EA8C" w14:textId="77777777" w:rsidR="001D5E66" w:rsidRPr="00491A41" w:rsidRDefault="001D5E66" w:rsidP="00BD4774">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4720AB51" w14:textId="77777777" w:rsidR="001D5E66" w:rsidRPr="00491A41" w:rsidRDefault="00DC115F" w:rsidP="2531BF8E">
            <w:pPr>
              <w:jc w:val="both"/>
              <w:rPr>
                <w:rFonts w:eastAsia="Times New Roman"/>
                <w:sz w:val="22"/>
                <w:szCs w:val="22"/>
              </w:rPr>
            </w:pPr>
            <w:r w:rsidRPr="00491A41">
              <w:rPr>
                <w:rFonts w:eastAsia="Times New Roman"/>
                <w:sz w:val="22"/>
                <w:szCs w:val="22"/>
              </w:rPr>
              <w:lastRenderedPageBreak/>
              <w:t>Uwaga uwzględniona</w:t>
            </w:r>
          </w:p>
        </w:tc>
      </w:tr>
      <w:tr w:rsidR="00351170" w:rsidRPr="00491A41" w14:paraId="6D3F5A35"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326ADEBA" w14:textId="77777777" w:rsidR="00351170" w:rsidRPr="00491A41" w:rsidRDefault="00351170"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48EF57FE" w14:textId="77777777" w:rsidR="00351170" w:rsidRPr="00491A41" w:rsidRDefault="00A44178" w:rsidP="4138D473">
            <w:pPr>
              <w:pStyle w:val="Tekstpodstawowy"/>
              <w:jc w:val="center"/>
              <w:rPr>
                <w:sz w:val="22"/>
                <w:szCs w:val="22"/>
              </w:rPr>
            </w:pPr>
            <w:r w:rsidRPr="00491A41">
              <w:rPr>
                <w:sz w:val="22"/>
                <w:szCs w:val="22"/>
              </w:rPr>
              <w:t>Załącznik nr 1 rozdział III ust. 13 pkt 2 lit. b</w:t>
            </w:r>
          </w:p>
        </w:tc>
        <w:tc>
          <w:tcPr>
            <w:tcW w:w="933" w:type="dxa"/>
            <w:tcBorders>
              <w:top w:val="single" w:sz="4" w:space="0" w:color="auto"/>
              <w:left w:val="single" w:sz="4" w:space="0" w:color="auto"/>
              <w:bottom w:val="single" w:sz="4" w:space="0" w:color="auto"/>
              <w:right w:val="single" w:sz="4" w:space="0" w:color="auto"/>
            </w:tcBorders>
          </w:tcPr>
          <w:p w14:paraId="210F7D9F" w14:textId="77777777" w:rsidR="00351170" w:rsidRPr="00491A41" w:rsidRDefault="00A44178"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6A530823" w14:textId="77777777" w:rsidR="00A44178" w:rsidRPr="00491A41" w:rsidRDefault="00A44178" w:rsidP="00A44178">
            <w:pPr>
              <w:jc w:val="both"/>
              <w:rPr>
                <w:sz w:val="22"/>
                <w:szCs w:val="22"/>
              </w:rPr>
            </w:pPr>
            <w:r w:rsidRPr="00491A41">
              <w:rPr>
                <w:b/>
                <w:sz w:val="22"/>
                <w:szCs w:val="22"/>
              </w:rPr>
              <w:t>Załącznik nr 1 rozdział III ust. 13 pkt 2 lit.</w:t>
            </w:r>
            <w:r w:rsidRPr="00491A41">
              <w:rPr>
                <w:sz w:val="22"/>
                <w:szCs w:val="22"/>
              </w:rPr>
              <w:t xml:space="preserve"> </w:t>
            </w:r>
            <w:r w:rsidRPr="00491A41">
              <w:rPr>
                <w:b/>
                <w:sz w:val="22"/>
                <w:szCs w:val="22"/>
              </w:rPr>
              <w:t>b</w:t>
            </w:r>
            <w:r w:rsidRPr="00491A41">
              <w:rPr>
                <w:sz w:val="22"/>
                <w:szCs w:val="22"/>
              </w:rPr>
              <w:t xml:space="preserve"> - występuje nieaktualne odniesienie się do przepisów ustawy z dnia 20 lipca 2017 r. Prawo wodne (Dz. U. z 2021 r. poz. 624, z późn. zm.). W obecnym systemie prawnym, w ustawie z dnia 20 lipca 2017 r. Prawo wodne „</w:t>
            </w:r>
            <w:r w:rsidRPr="00491A41">
              <w:rPr>
                <w:i/>
                <w:sz w:val="22"/>
                <w:szCs w:val="22"/>
              </w:rPr>
              <w:t>obszary bezpośredniego zagrożenia powodzią</w:t>
            </w:r>
            <w:r w:rsidRPr="00491A41">
              <w:rPr>
                <w:sz w:val="22"/>
                <w:szCs w:val="22"/>
              </w:rPr>
              <w:t xml:space="preserve">”, o których mowa w projekcie załącznika nie funkcjonują, gdyż w tej ustawie stosuje się określenie „obszary szczególnego zagrożenia powodzią” (art. 16 pkt 34a tej ustawy). </w:t>
            </w:r>
          </w:p>
          <w:p w14:paraId="0E6C1C95" w14:textId="77777777" w:rsidR="00A44178" w:rsidRPr="00491A41" w:rsidRDefault="00A44178" w:rsidP="00A44178">
            <w:pPr>
              <w:jc w:val="both"/>
              <w:rPr>
                <w:sz w:val="22"/>
                <w:szCs w:val="22"/>
              </w:rPr>
            </w:pPr>
            <w:r w:rsidRPr="00491A41">
              <w:rPr>
                <w:sz w:val="22"/>
                <w:szCs w:val="22"/>
              </w:rPr>
              <w:t xml:space="preserve">W związku z powyższym proponuję wprowadzenie odpowiedniej korekty przepisu z rozdziału III, ust. 13 pkt 2 lit b i nadanie mu brzmienia: „lokalizacja skrzyżowania poza obszarami </w:t>
            </w:r>
            <w:r w:rsidRPr="00491A41">
              <w:rPr>
                <w:b/>
                <w:sz w:val="22"/>
                <w:szCs w:val="22"/>
              </w:rPr>
              <w:t>narażonymi na niebezpieczeństwo powodzi</w:t>
            </w:r>
            <w:r w:rsidRPr="00491A41">
              <w:rPr>
                <w:sz w:val="22"/>
                <w:szCs w:val="22"/>
              </w:rPr>
              <w:t xml:space="preserve"> i obszarami </w:t>
            </w:r>
            <w:r w:rsidRPr="00491A41">
              <w:rPr>
                <w:b/>
                <w:sz w:val="22"/>
                <w:szCs w:val="22"/>
              </w:rPr>
              <w:t>szczególnego</w:t>
            </w:r>
            <w:r w:rsidRPr="00491A41">
              <w:rPr>
                <w:sz w:val="22"/>
                <w:szCs w:val="22"/>
              </w:rPr>
              <w:t xml:space="preserve"> zagrożenia powodzią”.</w:t>
            </w:r>
          </w:p>
          <w:p w14:paraId="649128E3" w14:textId="77777777" w:rsidR="00351170" w:rsidRPr="00491A41" w:rsidRDefault="00351170" w:rsidP="00BD4774">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2FDA857A" w14:textId="77777777" w:rsidR="00351170" w:rsidRPr="00491A41" w:rsidRDefault="00DC115F" w:rsidP="2531BF8E">
            <w:pPr>
              <w:jc w:val="both"/>
              <w:rPr>
                <w:rFonts w:eastAsia="Times New Roman"/>
                <w:sz w:val="22"/>
                <w:szCs w:val="22"/>
              </w:rPr>
            </w:pPr>
            <w:r w:rsidRPr="00491A41">
              <w:rPr>
                <w:rFonts w:eastAsia="Times New Roman"/>
                <w:sz w:val="22"/>
                <w:szCs w:val="22"/>
              </w:rPr>
              <w:t>Uwaga uwzględniona</w:t>
            </w:r>
          </w:p>
        </w:tc>
      </w:tr>
      <w:tr w:rsidR="004C649A" w:rsidRPr="00491A41" w14:paraId="2F365A06"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327488A2" w14:textId="77777777" w:rsidR="004C649A" w:rsidRPr="00491A41" w:rsidRDefault="004C649A"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3BAA7F8D" w14:textId="77777777" w:rsidR="004C649A" w:rsidRPr="00491A41" w:rsidRDefault="004C649A" w:rsidP="4138D473">
            <w:pPr>
              <w:pStyle w:val="Tekstpodstawowy"/>
              <w:jc w:val="center"/>
              <w:rPr>
                <w:sz w:val="22"/>
                <w:szCs w:val="22"/>
              </w:rPr>
            </w:pPr>
            <w:r w:rsidRPr="00491A41">
              <w:rPr>
                <w:sz w:val="22"/>
                <w:szCs w:val="22"/>
              </w:rPr>
              <w:t>Załączał nr 1 rozdział III ust. 13</w:t>
            </w:r>
          </w:p>
        </w:tc>
        <w:tc>
          <w:tcPr>
            <w:tcW w:w="933" w:type="dxa"/>
            <w:tcBorders>
              <w:top w:val="single" w:sz="4" w:space="0" w:color="auto"/>
              <w:left w:val="single" w:sz="4" w:space="0" w:color="auto"/>
              <w:bottom w:val="single" w:sz="4" w:space="0" w:color="auto"/>
              <w:right w:val="single" w:sz="4" w:space="0" w:color="auto"/>
            </w:tcBorders>
          </w:tcPr>
          <w:p w14:paraId="16EC0FC1" w14:textId="77777777" w:rsidR="004C649A" w:rsidRPr="00491A41" w:rsidRDefault="0079738C"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7925162F" w14:textId="77777777" w:rsidR="004C649A" w:rsidRPr="00491A41" w:rsidRDefault="004C649A" w:rsidP="004C649A">
            <w:pPr>
              <w:jc w:val="both"/>
              <w:rPr>
                <w:b/>
                <w:sz w:val="22"/>
                <w:szCs w:val="22"/>
              </w:rPr>
            </w:pPr>
            <w:r w:rsidRPr="00491A41">
              <w:rPr>
                <w:sz w:val="22"/>
                <w:szCs w:val="22"/>
              </w:rPr>
              <w:t xml:space="preserve">Projekt rozporządzenia, w szczególności przepisy zawarte </w:t>
            </w:r>
            <w:r w:rsidRPr="00491A41">
              <w:rPr>
                <w:b/>
                <w:sz w:val="22"/>
                <w:szCs w:val="22"/>
              </w:rPr>
              <w:t>w rozdziale III ust. 13 załącznika nr 1</w:t>
            </w:r>
            <w:r w:rsidRPr="00491A41">
              <w:rPr>
                <w:sz w:val="22"/>
                <w:szCs w:val="22"/>
              </w:rPr>
              <w:t xml:space="preserve"> dotyczące usytuowania i zabezpieczenia telekomunikacyjnych obiektów budowlanych ze śródlądowymi drogami powierzchniowymi, odnoszą się do kwestii administracji śródlądowych dróg wodnych. Zgodnie z ustawą z dnia 21 grudnia 2000 r. o żegludze śródlądowej (Dz. U. z 2020 r. poz. 1863, z późn. zm.) zadania administracji śródlądowych dróg wodnych wykonuje Państwowe Gospodarstwo Wodne Wody Polskie. W związku z powyższym, z uwagi na przedmiot regulacji projektu rozporządzenia, postuluję aby  w przyszłości zmiany dotyczące śródlądowych dróg </w:t>
            </w:r>
            <w:r w:rsidRPr="00491A41">
              <w:rPr>
                <w:sz w:val="22"/>
                <w:szCs w:val="22"/>
              </w:rPr>
              <w:lastRenderedPageBreak/>
              <w:t>wodnych podlegały także opiniowaniu przez Państwowe Gospodarstwo Wodne Wody Polskie.</w:t>
            </w:r>
          </w:p>
        </w:tc>
        <w:tc>
          <w:tcPr>
            <w:tcW w:w="4050" w:type="dxa"/>
            <w:tcBorders>
              <w:top w:val="single" w:sz="4" w:space="0" w:color="auto"/>
              <w:left w:val="single" w:sz="4" w:space="0" w:color="auto"/>
              <w:bottom w:val="single" w:sz="4" w:space="0" w:color="auto"/>
              <w:right w:val="single" w:sz="4" w:space="0" w:color="auto"/>
            </w:tcBorders>
          </w:tcPr>
          <w:p w14:paraId="735624DA" w14:textId="4640FDCF" w:rsidR="00CB5027" w:rsidRDefault="00CB5027" w:rsidP="2531BF8E">
            <w:pPr>
              <w:jc w:val="both"/>
              <w:rPr>
                <w:sz w:val="22"/>
                <w:szCs w:val="22"/>
              </w:rPr>
            </w:pPr>
            <w:r>
              <w:rPr>
                <w:sz w:val="22"/>
                <w:szCs w:val="22"/>
              </w:rPr>
              <w:lastRenderedPageBreak/>
              <w:t>Wyjaśnienie</w:t>
            </w:r>
          </w:p>
          <w:p w14:paraId="4655D659" w14:textId="77777777" w:rsidR="00DD2666" w:rsidRDefault="00DD2666" w:rsidP="2531BF8E">
            <w:pPr>
              <w:jc w:val="both"/>
              <w:rPr>
                <w:sz w:val="22"/>
                <w:szCs w:val="22"/>
              </w:rPr>
            </w:pPr>
          </w:p>
          <w:p w14:paraId="1ED0F652" w14:textId="00CBC989" w:rsidR="003741B3" w:rsidRPr="00491A41" w:rsidRDefault="003741B3" w:rsidP="2531BF8E">
            <w:pPr>
              <w:jc w:val="both"/>
              <w:rPr>
                <w:rFonts w:eastAsia="Times New Roman"/>
                <w:sz w:val="22"/>
                <w:szCs w:val="22"/>
              </w:rPr>
            </w:pPr>
            <w:r w:rsidRPr="00491A41">
              <w:rPr>
                <w:sz w:val="22"/>
                <w:szCs w:val="22"/>
              </w:rPr>
              <w:t>Państwowe Gospodarstwo Wodne Wody Polskie</w:t>
            </w:r>
            <w:r w:rsidR="00A03EF6" w:rsidRPr="00491A41">
              <w:rPr>
                <w:sz w:val="22"/>
                <w:szCs w:val="22"/>
              </w:rPr>
              <w:t xml:space="preserve"> podlega Ministe</w:t>
            </w:r>
            <w:r w:rsidRPr="00491A41">
              <w:rPr>
                <w:sz w:val="22"/>
                <w:szCs w:val="22"/>
              </w:rPr>
              <w:t>rstwu Środowiska. W ramach uzgodnień projekt został przesłany do M</w:t>
            </w:r>
            <w:r w:rsidR="001B6466">
              <w:rPr>
                <w:sz w:val="22"/>
                <w:szCs w:val="22"/>
              </w:rPr>
              <w:t>Ki</w:t>
            </w:r>
            <w:r w:rsidRPr="00491A41">
              <w:rPr>
                <w:sz w:val="22"/>
                <w:szCs w:val="22"/>
              </w:rPr>
              <w:t xml:space="preserve">Ś, </w:t>
            </w:r>
            <w:r w:rsidR="00755326" w:rsidRPr="00491A41">
              <w:rPr>
                <w:sz w:val="22"/>
                <w:szCs w:val="22"/>
              </w:rPr>
              <w:t>który to resort nie zgłosił uwag w tym zakresie</w:t>
            </w:r>
            <w:r w:rsidRPr="00491A41">
              <w:rPr>
                <w:sz w:val="22"/>
                <w:szCs w:val="22"/>
              </w:rPr>
              <w:t xml:space="preserve">. </w:t>
            </w:r>
          </w:p>
          <w:p w14:paraId="51867B55" w14:textId="7CDD2CB9" w:rsidR="004C649A" w:rsidRPr="00491A41" w:rsidRDefault="004C649A" w:rsidP="2531BF8E">
            <w:pPr>
              <w:jc w:val="both"/>
              <w:rPr>
                <w:rFonts w:eastAsia="Times New Roman"/>
                <w:sz w:val="22"/>
                <w:szCs w:val="22"/>
              </w:rPr>
            </w:pPr>
          </w:p>
        </w:tc>
      </w:tr>
      <w:tr w:rsidR="004C649A" w:rsidRPr="00491A41" w14:paraId="394F205B"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53287278" w14:textId="77777777" w:rsidR="004C649A" w:rsidRPr="00491A41" w:rsidRDefault="004C649A"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51BC3AB6" w14:textId="77777777" w:rsidR="004C649A" w:rsidRPr="00491A41" w:rsidRDefault="0079738C" w:rsidP="4138D473">
            <w:pPr>
              <w:pStyle w:val="Tekstpodstawowy"/>
              <w:jc w:val="center"/>
              <w:rPr>
                <w:sz w:val="22"/>
                <w:szCs w:val="22"/>
              </w:rPr>
            </w:pPr>
            <w:r w:rsidRPr="00491A41">
              <w:rPr>
                <w:sz w:val="22"/>
                <w:szCs w:val="22"/>
              </w:rPr>
              <w:t>Załącznik nr 1 rozdz. III ust. 13 pkt 2 lit f</w:t>
            </w:r>
          </w:p>
        </w:tc>
        <w:tc>
          <w:tcPr>
            <w:tcW w:w="933" w:type="dxa"/>
            <w:tcBorders>
              <w:top w:val="single" w:sz="4" w:space="0" w:color="auto"/>
              <w:left w:val="single" w:sz="4" w:space="0" w:color="auto"/>
              <w:bottom w:val="single" w:sz="4" w:space="0" w:color="auto"/>
              <w:right w:val="single" w:sz="4" w:space="0" w:color="auto"/>
            </w:tcBorders>
          </w:tcPr>
          <w:p w14:paraId="3D253F25" w14:textId="77777777" w:rsidR="004C649A" w:rsidRPr="00491A41" w:rsidRDefault="0079738C"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58F43EEA" w14:textId="77777777" w:rsidR="005053A0" w:rsidRPr="00491A41" w:rsidRDefault="005053A0" w:rsidP="005053A0">
            <w:pPr>
              <w:jc w:val="both"/>
              <w:rPr>
                <w:sz w:val="22"/>
                <w:szCs w:val="22"/>
              </w:rPr>
            </w:pPr>
            <w:r w:rsidRPr="00491A41">
              <w:rPr>
                <w:b/>
                <w:sz w:val="22"/>
                <w:szCs w:val="22"/>
              </w:rPr>
              <w:t>W rozdziale III, w ust. 13 w pkt 2 w lit f</w:t>
            </w:r>
            <w:r w:rsidRPr="00491A41">
              <w:rPr>
                <w:sz w:val="22"/>
                <w:szCs w:val="22"/>
              </w:rPr>
              <w:t xml:space="preserve"> </w:t>
            </w:r>
            <w:r w:rsidRPr="00491A41">
              <w:rPr>
                <w:b/>
                <w:sz w:val="22"/>
                <w:szCs w:val="22"/>
              </w:rPr>
              <w:t>załącznika nr 1</w:t>
            </w:r>
            <w:r w:rsidRPr="00491A41">
              <w:rPr>
                <w:sz w:val="22"/>
                <w:szCs w:val="22"/>
              </w:rPr>
              <w:t xml:space="preserve"> przewidziano warunek budowy telekomunikacyjnej linii kablowej na skrzyżowaniu ze śródlądowymi drogami powierzchniowymi polegający na tym, że przepust telekomunikacyjnej linii kablowej pod śródlądową wodą powierzchniową o szerokości lustra powyżej 25 m powinien być wykonany na głębokości, liczonej od najniższego punktu dna oczyszczonego, wynoszącej co najmniej 5 m. Proponuję ustalanie głębokości wykonania przepustu w zależności od aktywnej strefy ruchu rumowiska. Należy wskazać, że każdy obiekt wykonywany w dnie cieku bądź pod dnem cieku, z punktu widzenia bezpieczeństwa, winien być wykonywany na głębokości poniżej aktywnej strefy ruchu rumowiska, określonej w wyniku przeprowadzenia właściwych obliczeń uwzględniających, m.in. budowę geologiczną koryta cieku, parametry geotechniczne gruntów, dane hydrologiczne, parametry rumowiska, transport rumowiska procesy hydrodynamiczne i hydrauliczne, w tym prognozowaną erozję denną.</w:t>
            </w:r>
          </w:p>
          <w:p w14:paraId="2D1E73FF" w14:textId="77777777" w:rsidR="005053A0" w:rsidRPr="00491A41" w:rsidRDefault="005053A0" w:rsidP="005053A0">
            <w:pPr>
              <w:jc w:val="both"/>
              <w:rPr>
                <w:sz w:val="22"/>
                <w:szCs w:val="22"/>
              </w:rPr>
            </w:pPr>
            <w:r w:rsidRPr="00491A41">
              <w:rPr>
                <w:sz w:val="22"/>
                <w:szCs w:val="22"/>
              </w:rPr>
              <w:t xml:space="preserve">W związku z powyższym w rozdziale III, ust. 13 pkt 2 lit f proponuję zmianę brzmienia przepisu przez nadanie mu następującego brzmienia: </w:t>
            </w:r>
          </w:p>
          <w:p w14:paraId="0454C113" w14:textId="77777777" w:rsidR="004C649A" w:rsidRPr="00491A41" w:rsidRDefault="005053A0" w:rsidP="0079738C">
            <w:pPr>
              <w:jc w:val="both"/>
              <w:rPr>
                <w:b/>
                <w:sz w:val="22"/>
                <w:szCs w:val="22"/>
              </w:rPr>
            </w:pPr>
            <w:r w:rsidRPr="00491A41">
              <w:rPr>
                <w:sz w:val="22"/>
                <w:szCs w:val="22"/>
              </w:rPr>
              <w:t xml:space="preserve">„f) przepust telekomunikacyjnej linii kablowej pod śródlądową wodą powierzchniową o szerokości lustra powyżej 25 m powinien być wykonany na głębokości </w:t>
            </w:r>
            <w:r w:rsidRPr="00491A41">
              <w:rPr>
                <w:b/>
                <w:sz w:val="22"/>
                <w:szCs w:val="22"/>
              </w:rPr>
              <w:t>poniżej aktywnej strefy ruchu rumowiska, przy czym nie mniejszej niż 5 m, liczonej od najniższego punktu dna oczyszczonego”.</w:t>
            </w:r>
          </w:p>
        </w:tc>
        <w:tc>
          <w:tcPr>
            <w:tcW w:w="4050" w:type="dxa"/>
            <w:tcBorders>
              <w:top w:val="single" w:sz="4" w:space="0" w:color="auto"/>
              <w:left w:val="single" w:sz="4" w:space="0" w:color="auto"/>
              <w:bottom w:val="single" w:sz="4" w:space="0" w:color="auto"/>
              <w:right w:val="single" w:sz="4" w:space="0" w:color="auto"/>
            </w:tcBorders>
          </w:tcPr>
          <w:p w14:paraId="427FBBA9" w14:textId="77777777" w:rsidR="004C649A" w:rsidRPr="00491A41" w:rsidRDefault="00DC115F" w:rsidP="2531BF8E">
            <w:pPr>
              <w:jc w:val="both"/>
              <w:rPr>
                <w:rFonts w:eastAsia="Times New Roman"/>
                <w:sz w:val="22"/>
                <w:szCs w:val="22"/>
              </w:rPr>
            </w:pPr>
            <w:r w:rsidRPr="00491A41">
              <w:rPr>
                <w:rFonts w:eastAsia="Times New Roman"/>
                <w:sz w:val="22"/>
                <w:szCs w:val="22"/>
              </w:rPr>
              <w:t>Uwaga uwzględniona</w:t>
            </w:r>
          </w:p>
        </w:tc>
      </w:tr>
      <w:tr w:rsidR="005053A0" w:rsidRPr="00491A41" w14:paraId="04E43EF4"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2B99145B" w14:textId="77777777" w:rsidR="005053A0" w:rsidRPr="00491A41" w:rsidRDefault="005053A0"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2AAEC3F9" w14:textId="77777777" w:rsidR="005053A0" w:rsidRPr="00491A41" w:rsidRDefault="0079738C" w:rsidP="4138D473">
            <w:pPr>
              <w:pStyle w:val="Tekstpodstawowy"/>
              <w:jc w:val="center"/>
              <w:rPr>
                <w:sz w:val="22"/>
                <w:szCs w:val="22"/>
              </w:rPr>
            </w:pPr>
            <w:r w:rsidRPr="00491A41">
              <w:rPr>
                <w:sz w:val="22"/>
                <w:szCs w:val="22"/>
              </w:rPr>
              <w:t>Załącznik nr 1 rozdz. III ust. 13 pkt 2 lit g</w:t>
            </w:r>
          </w:p>
        </w:tc>
        <w:tc>
          <w:tcPr>
            <w:tcW w:w="933" w:type="dxa"/>
            <w:tcBorders>
              <w:top w:val="single" w:sz="4" w:space="0" w:color="auto"/>
              <w:left w:val="single" w:sz="4" w:space="0" w:color="auto"/>
              <w:bottom w:val="single" w:sz="4" w:space="0" w:color="auto"/>
              <w:right w:val="single" w:sz="4" w:space="0" w:color="auto"/>
            </w:tcBorders>
          </w:tcPr>
          <w:p w14:paraId="0DA0E3ED" w14:textId="77777777" w:rsidR="005053A0" w:rsidRPr="00491A41" w:rsidRDefault="0079738C"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7054C4F9" w14:textId="77777777" w:rsidR="005053A0" w:rsidRPr="00491A41" w:rsidRDefault="005053A0" w:rsidP="0079738C">
            <w:pPr>
              <w:jc w:val="both"/>
              <w:rPr>
                <w:sz w:val="22"/>
                <w:szCs w:val="22"/>
              </w:rPr>
            </w:pPr>
            <w:r w:rsidRPr="00491A41">
              <w:rPr>
                <w:b/>
                <w:sz w:val="22"/>
                <w:szCs w:val="22"/>
              </w:rPr>
              <w:t>W rozdziale III, ust. 13 pkt 2 lit g</w:t>
            </w:r>
            <w:r w:rsidRPr="00491A41">
              <w:rPr>
                <w:sz w:val="22"/>
                <w:szCs w:val="22"/>
              </w:rPr>
              <w:t xml:space="preserve"> </w:t>
            </w:r>
            <w:r w:rsidRPr="00491A41">
              <w:rPr>
                <w:b/>
                <w:sz w:val="22"/>
                <w:szCs w:val="22"/>
              </w:rPr>
              <w:t>załącznika nr 1</w:t>
            </w:r>
            <w:r w:rsidRPr="00491A41">
              <w:rPr>
                <w:sz w:val="22"/>
                <w:szCs w:val="22"/>
              </w:rPr>
              <w:t xml:space="preserve"> przewidziano warunek budowy telekomunikacyjnej linii kablowej na skrzyżowaniu ze śródlądowymi drogami powierzchniowymi polegający na tym, że przepust telekomunikacyjnej linii kablowej pod śródlądową wodą powierzchniową (kanałem) o szerokości lustra poniżej 25 m powinien być wykonany przy zachowaniu głębokości ułożenia nie mniejszej niż 0,8 m, licząc prostopadle do powierzchni stoku, przy czym odległość osi przepusty od mostu nie powinna być mniejsza niż 20 m przy szerokości lustra wody powyżej 10 m i 10 m – przy szerokości do 10 m.</w:t>
            </w:r>
          </w:p>
          <w:p w14:paraId="7F158867" w14:textId="77777777" w:rsidR="005053A0" w:rsidRPr="00491A41" w:rsidRDefault="005053A0" w:rsidP="005053A0">
            <w:pPr>
              <w:jc w:val="both"/>
              <w:rPr>
                <w:sz w:val="22"/>
                <w:szCs w:val="22"/>
              </w:rPr>
            </w:pPr>
            <w:r w:rsidRPr="00491A41">
              <w:rPr>
                <w:sz w:val="22"/>
                <w:szCs w:val="22"/>
              </w:rPr>
              <w:t>W przedstawionym przepisie proponuję ustalanie głębokości wykonania</w:t>
            </w:r>
            <w:r w:rsidR="0079738C" w:rsidRPr="00491A41">
              <w:rPr>
                <w:sz w:val="22"/>
                <w:szCs w:val="22"/>
              </w:rPr>
              <w:t xml:space="preserve"> przepustu w </w:t>
            </w:r>
            <w:r w:rsidRPr="00491A41">
              <w:rPr>
                <w:sz w:val="22"/>
                <w:szCs w:val="22"/>
              </w:rPr>
              <w:t xml:space="preserve">zależności od aktywnej strefy ruchu rumowiska, jednak nie mniejszej niż 1,5 m liczonej od najniższego punktu dna oczyszczonego. Proponowana zmiana jest celowa ze względu na bezpieczeństwo wykonywanych budowli, zwłaszcza w kontekście wód płynących, w których podczas okresów podwyższonych stanów wód następuje znacznie przyspieszona erozja dna. Głębokość 0,8 m wydaje się zatem niewystarczająca, aby zapewnić bezproblemową, wieloletnią eksploatację budowanych przepustów. Należy wskazać, że każdy obiekt wykonywany w dnie cieku, bądź pod dnem cieku, z punktu widzenia bezpieczeństwa, winien być wykonywany na głębokości poniżej aktywnej strefy ruchu rumowiska, określonej w wyniku przeprowadzenia właściwych obliczeń </w:t>
            </w:r>
            <w:r w:rsidRPr="00491A41">
              <w:rPr>
                <w:sz w:val="22"/>
                <w:szCs w:val="22"/>
              </w:rPr>
              <w:lastRenderedPageBreak/>
              <w:t xml:space="preserve">uwzględniających, m.in. budowę geologiczną koryta cieku, parametry geotechniczne gruntów, dane hydrologiczne, parametry rumowiska, transport rumowiska procesy hydrodynamiczne </w:t>
            </w:r>
            <w:r w:rsidRPr="00491A41">
              <w:rPr>
                <w:sz w:val="22"/>
                <w:szCs w:val="22"/>
              </w:rPr>
              <w:br/>
              <w:t>i hydrauliczne, w tym prognozowaną erozję denną.</w:t>
            </w:r>
          </w:p>
          <w:p w14:paraId="781ED2AC" w14:textId="77777777" w:rsidR="005053A0" w:rsidRPr="00491A41" w:rsidRDefault="005053A0" w:rsidP="005053A0">
            <w:pPr>
              <w:jc w:val="both"/>
              <w:rPr>
                <w:sz w:val="22"/>
                <w:szCs w:val="22"/>
              </w:rPr>
            </w:pPr>
            <w:r w:rsidRPr="00491A41">
              <w:rPr>
                <w:sz w:val="22"/>
                <w:szCs w:val="22"/>
              </w:rPr>
              <w:t>Ponadto proponuję usunięcie wyrazu „kanał”, w ww. przepisie, który może mylnie sugerować ograniczenie przepisu wyłącznie do ś</w:t>
            </w:r>
            <w:r w:rsidR="0079738C" w:rsidRPr="00491A41">
              <w:rPr>
                <w:sz w:val="22"/>
                <w:szCs w:val="22"/>
              </w:rPr>
              <w:t xml:space="preserve">ródlądowym wód powierzchniowych </w:t>
            </w:r>
            <w:r w:rsidRPr="00491A41">
              <w:rPr>
                <w:sz w:val="22"/>
                <w:szCs w:val="22"/>
              </w:rPr>
              <w:t>znajdujących</w:t>
            </w:r>
            <w:r w:rsidR="0079738C" w:rsidRPr="00491A41">
              <w:rPr>
                <w:sz w:val="22"/>
                <w:szCs w:val="22"/>
              </w:rPr>
              <w:t xml:space="preserve"> </w:t>
            </w:r>
            <w:r w:rsidRPr="00491A41">
              <w:rPr>
                <w:sz w:val="22"/>
                <w:szCs w:val="22"/>
              </w:rPr>
              <w:t>się w kanale, w sytuacji gdy przedstawiony przepis powinien dotyczyć skrzyżowań ze wszystkimi śródlądowymi drogami wodnymi.</w:t>
            </w:r>
          </w:p>
          <w:p w14:paraId="5185090B" w14:textId="77777777" w:rsidR="005053A0" w:rsidRPr="00491A41" w:rsidRDefault="005053A0" w:rsidP="005053A0">
            <w:pPr>
              <w:jc w:val="both"/>
              <w:rPr>
                <w:sz w:val="22"/>
                <w:szCs w:val="22"/>
              </w:rPr>
            </w:pPr>
            <w:r w:rsidRPr="00491A41">
              <w:rPr>
                <w:sz w:val="22"/>
                <w:szCs w:val="22"/>
              </w:rPr>
              <w:t xml:space="preserve">W związku z powyższym w rozdziale III, ust. 13 pkt 2 lit g proponuję zmianę przepisu przez nadanie mu następującego brzmienia: </w:t>
            </w:r>
          </w:p>
          <w:p w14:paraId="77B8CEDF" w14:textId="77777777" w:rsidR="005053A0" w:rsidRPr="00491A41" w:rsidRDefault="005053A0" w:rsidP="005053A0">
            <w:pPr>
              <w:jc w:val="both"/>
              <w:rPr>
                <w:sz w:val="22"/>
                <w:szCs w:val="22"/>
              </w:rPr>
            </w:pPr>
            <w:r w:rsidRPr="00491A41">
              <w:rPr>
                <w:sz w:val="22"/>
                <w:szCs w:val="22"/>
              </w:rPr>
              <w:t xml:space="preserve">„g) przepust telekomunikacyjnej linii kablowej pod śródlądową wodą powierzchniową  o szerokości lustra poniżej 25 m powinien być wykonany na głębokości </w:t>
            </w:r>
            <w:r w:rsidRPr="00491A41">
              <w:rPr>
                <w:b/>
                <w:sz w:val="22"/>
                <w:szCs w:val="22"/>
              </w:rPr>
              <w:t>poniżej aktywnej strefy ruchu rumowiska, przy czym nie mniejszej niż 1,5 m, liczonej od najniższego punktu dna oczyszczonego,</w:t>
            </w:r>
            <w:r w:rsidRPr="00491A41">
              <w:rPr>
                <w:sz w:val="22"/>
                <w:szCs w:val="22"/>
              </w:rPr>
              <w:t xml:space="preserve"> przy czym odległość osi przepustu od mostu nie powinna być mniejsza niż 20 m przy szerokości lustra wody powyżej 10 m i 10 m – przy szerokości do 10 m.”.</w:t>
            </w:r>
          </w:p>
          <w:p w14:paraId="07E54617" w14:textId="77777777" w:rsidR="005053A0" w:rsidRPr="00491A41" w:rsidRDefault="005053A0" w:rsidP="005053A0">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01BE8440" w14:textId="77777777" w:rsidR="005053A0" w:rsidRPr="00491A41" w:rsidRDefault="00DC115F" w:rsidP="2531BF8E">
            <w:pPr>
              <w:jc w:val="both"/>
              <w:rPr>
                <w:rFonts w:eastAsia="Times New Roman"/>
                <w:sz w:val="22"/>
                <w:szCs w:val="22"/>
              </w:rPr>
            </w:pPr>
            <w:r w:rsidRPr="00491A41">
              <w:rPr>
                <w:rFonts w:eastAsia="Times New Roman"/>
                <w:sz w:val="22"/>
                <w:szCs w:val="22"/>
              </w:rPr>
              <w:lastRenderedPageBreak/>
              <w:t>Uwaga uwzględniona</w:t>
            </w:r>
          </w:p>
        </w:tc>
      </w:tr>
      <w:tr w:rsidR="00DC115F" w:rsidRPr="00491A41" w14:paraId="3F4CE295"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434FD6DB" w14:textId="77777777" w:rsidR="00DC115F" w:rsidRPr="00491A41" w:rsidRDefault="00DC115F"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68F27394" w14:textId="77777777" w:rsidR="00DC115F" w:rsidRPr="00491A41" w:rsidRDefault="00DC115F" w:rsidP="4138D473">
            <w:pPr>
              <w:pStyle w:val="Tekstpodstawowy"/>
              <w:jc w:val="center"/>
              <w:rPr>
                <w:sz w:val="22"/>
                <w:szCs w:val="22"/>
              </w:rPr>
            </w:pPr>
            <w:r w:rsidRPr="00491A41">
              <w:rPr>
                <w:sz w:val="22"/>
                <w:szCs w:val="22"/>
              </w:rPr>
              <w:t xml:space="preserve">Załącznik nr 1 rozdz. III ust. 13 </w:t>
            </w:r>
          </w:p>
        </w:tc>
        <w:tc>
          <w:tcPr>
            <w:tcW w:w="933" w:type="dxa"/>
            <w:tcBorders>
              <w:top w:val="single" w:sz="4" w:space="0" w:color="auto"/>
              <w:left w:val="single" w:sz="4" w:space="0" w:color="auto"/>
              <w:bottom w:val="single" w:sz="4" w:space="0" w:color="auto"/>
              <w:right w:val="single" w:sz="4" w:space="0" w:color="auto"/>
            </w:tcBorders>
          </w:tcPr>
          <w:p w14:paraId="3848D221" w14:textId="77777777" w:rsidR="00DC115F" w:rsidRPr="00491A41" w:rsidRDefault="00DC115F"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5CB1FBE7" w14:textId="09C1ED44" w:rsidR="00DC115F" w:rsidRPr="00491A41" w:rsidRDefault="00DC115F" w:rsidP="0079738C">
            <w:pPr>
              <w:jc w:val="both"/>
              <w:rPr>
                <w:sz w:val="22"/>
                <w:szCs w:val="22"/>
              </w:rPr>
            </w:pPr>
            <w:r w:rsidRPr="00491A41">
              <w:rPr>
                <w:b/>
                <w:sz w:val="22"/>
                <w:szCs w:val="22"/>
              </w:rPr>
              <w:t>W rozdziale III, ust. 13</w:t>
            </w:r>
            <w:r w:rsidRPr="00491A41">
              <w:rPr>
                <w:sz w:val="22"/>
                <w:szCs w:val="22"/>
              </w:rPr>
              <w:t xml:space="preserve"> należy doprecyzować zaproponowaną nazwę tej części projektu brzmiącą „Usytuowanie i zabezpieczenia telekomunikacyjnych obiektów budowlanych ze śródlądowymi drogami powierzchniowymi.” </w:t>
            </w:r>
            <w:r w:rsidR="005F3DE5" w:rsidRPr="00491A41">
              <w:rPr>
                <w:sz w:val="22"/>
                <w:szCs w:val="22"/>
              </w:rPr>
              <w:t>Poprzez</w:t>
            </w:r>
            <w:r w:rsidRPr="00491A41">
              <w:rPr>
                <w:sz w:val="22"/>
                <w:szCs w:val="22"/>
              </w:rPr>
              <w:t xml:space="preserve"> jej uzupełnienie i wskazanie, że dotyczy ona skrzyżowań obiektów budowlanych ze śródlądowymi wodami powierzchniowymi. W związku z tym, w rozdziale III, ust. 13 powinien otrzymać brzmienie:</w:t>
            </w:r>
          </w:p>
          <w:p w14:paraId="3319A46F" w14:textId="77777777" w:rsidR="00DC115F" w:rsidRPr="00491A41" w:rsidRDefault="00DC115F" w:rsidP="005053A0">
            <w:pPr>
              <w:jc w:val="both"/>
              <w:rPr>
                <w:b/>
                <w:sz w:val="22"/>
                <w:szCs w:val="22"/>
              </w:rPr>
            </w:pPr>
            <w:r w:rsidRPr="00491A41">
              <w:rPr>
                <w:sz w:val="22"/>
                <w:szCs w:val="22"/>
              </w:rPr>
              <w:t xml:space="preserve">„13. Usytuowanie i zabezpieczenia telekomunikacyjnych obiektów budowlanych </w:t>
            </w:r>
            <w:r w:rsidRPr="00491A41">
              <w:rPr>
                <w:b/>
                <w:sz w:val="22"/>
                <w:szCs w:val="22"/>
              </w:rPr>
              <w:t>na skrzyżowaniach</w:t>
            </w:r>
            <w:r w:rsidRPr="00491A41">
              <w:rPr>
                <w:sz w:val="22"/>
                <w:szCs w:val="22"/>
              </w:rPr>
              <w:t xml:space="preserve"> ze śródlądowymi wodami powierzchniowymi, wodami morza wewnętrznego oraz morskimi wodami wewnętrznymi.”.</w:t>
            </w:r>
          </w:p>
        </w:tc>
        <w:tc>
          <w:tcPr>
            <w:tcW w:w="4050" w:type="dxa"/>
            <w:tcBorders>
              <w:top w:val="single" w:sz="4" w:space="0" w:color="auto"/>
              <w:left w:val="single" w:sz="4" w:space="0" w:color="auto"/>
              <w:bottom w:val="single" w:sz="4" w:space="0" w:color="auto"/>
              <w:right w:val="single" w:sz="4" w:space="0" w:color="auto"/>
            </w:tcBorders>
          </w:tcPr>
          <w:p w14:paraId="79C61628" w14:textId="77777777" w:rsidR="00DC115F" w:rsidRPr="00491A41" w:rsidRDefault="00DC115F">
            <w:pPr>
              <w:rPr>
                <w:sz w:val="22"/>
                <w:szCs w:val="22"/>
              </w:rPr>
            </w:pPr>
            <w:r w:rsidRPr="00491A41">
              <w:rPr>
                <w:sz w:val="22"/>
                <w:szCs w:val="22"/>
              </w:rPr>
              <w:t>Uwaga uwzględniona</w:t>
            </w:r>
          </w:p>
        </w:tc>
      </w:tr>
      <w:tr w:rsidR="00DC115F" w:rsidRPr="00491A41" w14:paraId="6909AEF9"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039D5742" w14:textId="77777777" w:rsidR="00DC115F" w:rsidRPr="00491A41" w:rsidRDefault="00DC115F"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46292C62" w14:textId="77777777" w:rsidR="00DC115F" w:rsidRPr="00491A41" w:rsidRDefault="00DC115F" w:rsidP="0079738C">
            <w:pPr>
              <w:pStyle w:val="Tekstpodstawowy"/>
              <w:jc w:val="center"/>
              <w:rPr>
                <w:sz w:val="22"/>
                <w:szCs w:val="22"/>
              </w:rPr>
            </w:pPr>
            <w:r w:rsidRPr="00491A41">
              <w:rPr>
                <w:sz w:val="22"/>
                <w:szCs w:val="22"/>
              </w:rPr>
              <w:t>Załącznik nr 1 rozdz. III ust. 13 pkt 2</w:t>
            </w:r>
          </w:p>
        </w:tc>
        <w:tc>
          <w:tcPr>
            <w:tcW w:w="933" w:type="dxa"/>
            <w:tcBorders>
              <w:top w:val="single" w:sz="4" w:space="0" w:color="auto"/>
              <w:left w:val="single" w:sz="4" w:space="0" w:color="auto"/>
              <w:bottom w:val="single" w:sz="4" w:space="0" w:color="auto"/>
              <w:right w:val="single" w:sz="4" w:space="0" w:color="auto"/>
            </w:tcBorders>
          </w:tcPr>
          <w:p w14:paraId="3498884A" w14:textId="77777777" w:rsidR="00DC115F" w:rsidRPr="00491A41" w:rsidRDefault="00DC115F"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5AB14CCF" w14:textId="0153158F" w:rsidR="00DC115F" w:rsidRPr="00491A41" w:rsidRDefault="00DC115F" w:rsidP="0079738C">
            <w:pPr>
              <w:jc w:val="both"/>
              <w:rPr>
                <w:sz w:val="22"/>
                <w:szCs w:val="22"/>
              </w:rPr>
            </w:pPr>
            <w:r w:rsidRPr="00491A41">
              <w:rPr>
                <w:b/>
                <w:sz w:val="22"/>
                <w:szCs w:val="22"/>
              </w:rPr>
              <w:t>W rozdziale III, w ust. 13, w pkt 2</w:t>
            </w:r>
            <w:r w:rsidRPr="00491A41">
              <w:rPr>
                <w:sz w:val="22"/>
                <w:szCs w:val="22"/>
              </w:rPr>
              <w:t xml:space="preserve"> wprowadza się pojęcie „śródlądowe drogi powierzchniowe”, które należy poprawić zgodnie ze stosowaną </w:t>
            </w:r>
            <w:r w:rsidR="005F3DE5" w:rsidRPr="00491A41">
              <w:rPr>
                <w:sz w:val="22"/>
                <w:szCs w:val="22"/>
              </w:rPr>
              <w:t>w obecnych</w:t>
            </w:r>
            <w:r w:rsidRPr="00491A41">
              <w:rPr>
                <w:sz w:val="22"/>
                <w:szCs w:val="22"/>
              </w:rPr>
              <w:t xml:space="preserve"> przepisach nomenklaturą na „śródlądowe wody powierzchniowe”. W przepisach nie występuje zwrot „śródlądowe drogi powierzchniowe”. Wydaje się, że przedmiotowy przepis miał dotyczyć wymagań odnoszących się do usytuowania i zabezpieczenia telekomunikacyjnych obiektów budowlanych ze śródlądowymi wodami powierzchniowymi, dlatego niezbędne jest dokonanie wskazanej korekty tego przepisu. </w:t>
            </w:r>
          </w:p>
          <w:p w14:paraId="5EDC7771" w14:textId="77777777" w:rsidR="00DC115F" w:rsidRPr="00491A41" w:rsidRDefault="00DC115F" w:rsidP="00A44178">
            <w:pPr>
              <w:jc w:val="both"/>
              <w:rPr>
                <w:b/>
                <w:sz w:val="22"/>
                <w:szCs w:val="22"/>
              </w:rPr>
            </w:pPr>
          </w:p>
        </w:tc>
        <w:tc>
          <w:tcPr>
            <w:tcW w:w="4050" w:type="dxa"/>
            <w:tcBorders>
              <w:top w:val="single" w:sz="4" w:space="0" w:color="auto"/>
              <w:left w:val="single" w:sz="4" w:space="0" w:color="auto"/>
              <w:bottom w:val="single" w:sz="4" w:space="0" w:color="auto"/>
              <w:right w:val="single" w:sz="4" w:space="0" w:color="auto"/>
            </w:tcBorders>
          </w:tcPr>
          <w:p w14:paraId="4ADF0683" w14:textId="77777777" w:rsidR="00DC115F" w:rsidRPr="00491A41" w:rsidRDefault="00DC115F">
            <w:pPr>
              <w:rPr>
                <w:sz w:val="22"/>
                <w:szCs w:val="22"/>
              </w:rPr>
            </w:pPr>
            <w:r w:rsidRPr="00491A41">
              <w:rPr>
                <w:sz w:val="22"/>
                <w:szCs w:val="22"/>
              </w:rPr>
              <w:t>Uwaga uwzględniona</w:t>
            </w:r>
          </w:p>
        </w:tc>
      </w:tr>
      <w:tr w:rsidR="00BD4774" w:rsidRPr="00491A41" w14:paraId="6A327AA4"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338A6910" w14:textId="77777777" w:rsidR="00BD4774" w:rsidRPr="00491A41" w:rsidRDefault="00BD4774"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5FED6626" w14:textId="77777777" w:rsidR="00BD4774" w:rsidRPr="00491A41" w:rsidRDefault="00BD4774" w:rsidP="4138D473">
            <w:pPr>
              <w:pStyle w:val="Tekstpodstawowy"/>
              <w:jc w:val="center"/>
              <w:rPr>
                <w:sz w:val="22"/>
                <w:szCs w:val="22"/>
              </w:rPr>
            </w:pPr>
            <w:r w:rsidRPr="00491A41">
              <w:rPr>
                <w:sz w:val="22"/>
                <w:szCs w:val="22"/>
              </w:rPr>
              <w:t>Załączniki</w:t>
            </w:r>
          </w:p>
        </w:tc>
        <w:tc>
          <w:tcPr>
            <w:tcW w:w="933" w:type="dxa"/>
            <w:tcBorders>
              <w:top w:val="single" w:sz="4" w:space="0" w:color="auto"/>
              <w:left w:val="single" w:sz="4" w:space="0" w:color="auto"/>
              <w:bottom w:val="single" w:sz="4" w:space="0" w:color="auto"/>
              <w:right w:val="single" w:sz="4" w:space="0" w:color="auto"/>
            </w:tcBorders>
          </w:tcPr>
          <w:p w14:paraId="3174A9C1" w14:textId="77777777" w:rsidR="00BD4774" w:rsidRPr="00491A41" w:rsidRDefault="00BD4774" w:rsidP="4138D473">
            <w:pPr>
              <w:jc w:val="center"/>
              <w:rPr>
                <w:sz w:val="22"/>
                <w:szCs w:val="22"/>
              </w:rPr>
            </w:pPr>
            <w:r w:rsidRPr="00491A41">
              <w:rPr>
                <w:sz w:val="22"/>
                <w:szCs w:val="22"/>
              </w:rPr>
              <w:t>MSWiA</w:t>
            </w:r>
          </w:p>
        </w:tc>
        <w:tc>
          <w:tcPr>
            <w:tcW w:w="7938" w:type="dxa"/>
            <w:tcBorders>
              <w:top w:val="single" w:sz="4" w:space="0" w:color="auto"/>
              <w:left w:val="single" w:sz="4" w:space="0" w:color="auto"/>
              <w:bottom w:val="single" w:sz="4" w:space="0" w:color="auto"/>
              <w:right w:val="single" w:sz="4" w:space="0" w:color="auto"/>
            </w:tcBorders>
          </w:tcPr>
          <w:p w14:paraId="63A124CE" w14:textId="77777777" w:rsidR="00BD4774" w:rsidRPr="00491A41" w:rsidRDefault="00BD4774" w:rsidP="00BD4774">
            <w:pPr>
              <w:jc w:val="both"/>
              <w:rPr>
                <w:sz w:val="22"/>
                <w:szCs w:val="22"/>
              </w:rPr>
            </w:pPr>
            <w:r w:rsidRPr="00491A41">
              <w:rPr>
                <w:sz w:val="22"/>
                <w:szCs w:val="22"/>
              </w:rPr>
              <w:t xml:space="preserve">w części II.7, w której określono wymagania dotyczące usytuowania i zabezpieczenia telekomunikacyjnych obiektów budowlanych z gazociągiem, należy skorelować z wymaganiami określonymi w § 16 projektu rozporządzenia Ministra Klimatu i Środowiska w sprawie warunków technicznych, jakim powinny odpowiadać sieci gazowe i ich usytuowanie (projekt z dnia 5 maja 2021 r., etap: uzgodnienia </w:t>
            </w:r>
            <w:r w:rsidRPr="00491A41">
              <w:rPr>
                <w:sz w:val="22"/>
                <w:szCs w:val="22"/>
              </w:rPr>
              <w:lastRenderedPageBreak/>
              <w:t xml:space="preserve">międzyresortowe). W tym przypadku powinny obowiązywać jednolite wymagania dla lokalizacji gazociągu przy telekomunikacyjnym obiekcie budowlanym. </w:t>
            </w:r>
          </w:p>
          <w:p w14:paraId="380DEEEB" w14:textId="77777777" w:rsidR="00BD4774" w:rsidRPr="00491A41" w:rsidRDefault="00BD4774" w:rsidP="00BD4774">
            <w:pPr>
              <w:jc w:val="both"/>
              <w:rPr>
                <w:sz w:val="22"/>
                <w:szCs w:val="22"/>
                <w:lang w:eastAsia="en-US"/>
              </w:rPr>
            </w:pPr>
            <w:r w:rsidRPr="00491A41">
              <w:rPr>
                <w:sz w:val="22"/>
                <w:szCs w:val="22"/>
              </w:rPr>
              <w:t xml:space="preserve">Mając powyższe na uwadze wskazać należy, że wymagania określone w </w:t>
            </w:r>
            <w:r w:rsidRPr="00491A41">
              <w:rPr>
                <w:bCs/>
                <w:sz w:val="22"/>
                <w:szCs w:val="22"/>
              </w:rPr>
              <w:t>projekcie rozporządzenia Ministra Cyfryzacji w sprawie warunków technicznych, jakim powinny odpowiadać telekomunikacyjne obiekty budowlane i ich usytuowanie</w:t>
            </w:r>
            <w:r w:rsidRPr="00491A41">
              <w:rPr>
                <w:sz w:val="22"/>
                <w:szCs w:val="22"/>
              </w:rPr>
              <w:t xml:space="preserve"> powinny zostać  dostosowane do ww. projektów rozporządzeń, których wymagania odzwierciedlają aktualne potrzeby w zakresie zapewnienia bezpieczeństwa pożarowego. </w:t>
            </w:r>
          </w:p>
          <w:p w14:paraId="09937F6C" w14:textId="77777777" w:rsidR="00BD4774" w:rsidRPr="00491A41" w:rsidRDefault="00BD4774" w:rsidP="4138D473">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2F64B900" w14:textId="660D009A" w:rsidR="00CB5027" w:rsidRDefault="00CB5027" w:rsidP="004B0FEB">
            <w:pPr>
              <w:jc w:val="both"/>
              <w:rPr>
                <w:rFonts w:eastAsia="Times New Roman"/>
                <w:sz w:val="22"/>
                <w:szCs w:val="22"/>
              </w:rPr>
            </w:pPr>
            <w:r>
              <w:rPr>
                <w:rFonts w:eastAsia="Times New Roman"/>
                <w:sz w:val="22"/>
                <w:szCs w:val="22"/>
              </w:rPr>
              <w:lastRenderedPageBreak/>
              <w:t>Wyjaśnienie</w:t>
            </w:r>
          </w:p>
          <w:p w14:paraId="1BDCFFD8" w14:textId="77777777" w:rsidR="00DD2666" w:rsidRDefault="00DD2666" w:rsidP="004B0FEB">
            <w:pPr>
              <w:jc w:val="both"/>
              <w:rPr>
                <w:rFonts w:eastAsia="Times New Roman"/>
                <w:sz w:val="22"/>
                <w:szCs w:val="22"/>
              </w:rPr>
            </w:pPr>
          </w:p>
          <w:p w14:paraId="4D89BA11" w14:textId="714D4BAB" w:rsidR="00994560" w:rsidRPr="00491A41" w:rsidRDefault="004B0FEB" w:rsidP="004B0FEB">
            <w:pPr>
              <w:jc w:val="both"/>
              <w:rPr>
                <w:rFonts w:eastAsia="Times New Roman"/>
                <w:sz w:val="22"/>
                <w:szCs w:val="22"/>
              </w:rPr>
            </w:pPr>
            <w:r w:rsidRPr="00491A41">
              <w:rPr>
                <w:rFonts w:eastAsia="Times New Roman"/>
                <w:sz w:val="22"/>
                <w:szCs w:val="22"/>
              </w:rPr>
              <w:t>Uwaga MSWiA zgłoszona wyłącznie w</w:t>
            </w:r>
            <w:r w:rsidR="00481B52">
              <w:rPr>
                <w:rFonts w:eastAsia="Times New Roman"/>
                <w:sz w:val="22"/>
                <w:szCs w:val="22"/>
              </w:rPr>
              <w:t> </w:t>
            </w:r>
            <w:r w:rsidRPr="00491A41">
              <w:rPr>
                <w:rFonts w:eastAsia="Times New Roman"/>
                <w:sz w:val="22"/>
                <w:szCs w:val="22"/>
              </w:rPr>
              <w:t xml:space="preserve">trybie roboczym. </w:t>
            </w:r>
          </w:p>
          <w:p w14:paraId="7A8C01BC" w14:textId="37B40AAC" w:rsidR="004B0FEB" w:rsidRPr="00491A41" w:rsidRDefault="004B0FEB" w:rsidP="004B0FEB">
            <w:pPr>
              <w:jc w:val="both"/>
              <w:rPr>
                <w:rFonts w:eastAsia="Times New Roman"/>
                <w:sz w:val="22"/>
                <w:szCs w:val="22"/>
              </w:rPr>
            </w:pPr>
            <w:r w:rsidRPr="00491A41">
              <w:rPr>
                <w:rFonts w:eastAsia="Times New Roman"/>
                <w:sz w:val="22"/>
                <w:szCs w:val="22"/>
              </w:rPr>
              <w:lastRenderedPageBreak/>
              <w:t>Uwagi zgłoszone przez M</w:t>
            </w:r>
            <w:r w:rsidR="00A03EF6" w:rsidRPr="00491A41">
              <w:rPr>
                <w:rFonts w:eastAsia="Times New Roman"/>
                <w:sz w:val="22"/>
                <w:szCs w:val="22"/>
              </w:rPr>
              <w:t>KiŚ</w:t>
            </w:r>
            <w:r w:rsidRPr="00491A41">
              <w:rPr>
                <w:rFonts w:eastAsia="Times New Roman"/>
                <w:sz w:val="22"/>
                <w:szCs w:val="22"/>
              </w:rPr>
              <w:t xml:space="preserve"> odnoszą się do tych kwestii.</w:t>
            </w:r>
          </w:p>
          <w:p w14:paraId="110A42ED" w14:textId="3D74529E" w:rsidR="00994560" w:rsidRPr="00491A41" w:rsidRDefault="00994560" w:rsidP="004B0FEB">
            <w:pPr>
              <w:jc w:val="both"/>
              <w:rPr>
                <w:rFonts w:eastAsia="Times New Roman"/>
                <w:sz w:val="22"/>
                <w:szCs w:val="22"/>
              </w:rPr>
            </w:pPr>
            <w:r w:rsidRPr="00491A41">
              <w:rPr>
                <w:rFonts w:eastAsia="Times New Roman"/>
                <w:sz w:val="22"/>
                <w:szCs w:val="22"/>
              </w:rPr>
              <w:t xml:space="preserve"> W projekcie rozporządzenia Ministra </w:t>
            </w:r>
            <w:r w:rsidR="005F3DE5" w:rsidRPr="00491A41">
              <w:rPr>
                <w:rFonts w:eastAsia="Times New Roman"/>
                <w:sz w:val="22"/>
                <w:szCs w:val="22"/>
              </w:rPr>
              <w:t>Cyfryzacji</w:t>
            </w:r>
            <w:r w:rsidRPr="00491A41">
              <w:rPr>
                <w:rFonts w:eastAsia="Times New Roman"/>
                <w:sz w:val="22"/>
                <w:szCs w:val="22"/>
              </w:rPr>
              <w:t xml:space="preserve"> dokonano odesłania do przepisów „rozporządzenia gazowego”.</w:t>
            </w:r>
          </w:p>
          <w:p w14:paraId="682B8FA4" w14:textId="4C09B6FB" w:rsidR="00BD4774" w:rsidRPr="00491A41" w:rsidRDefault="00BD4774" w:rsidP="2531BF8E">
            <w:pPr>
              <w:jc w:val="both"/>
              <w:rPr>
                <w:rFonts w:eastAsia="Times New Roman"/>
                <w:sz w:val="22"/>
                <w:szCs w:val="22"/>
              </w:rPr>
            </w:pPr>
          </w:p>
        </w:tc>
      </w:tr>
      <w:tr w:rsidR="00DC115F" w:rsidRPr="00491A41" w14:paraId="1B0B18C2"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2D97CD48" w14:textId="77777777" w:rsidR="00DC115F" w:rsidRPr="00491A41" w:rsidRDefault="00DC115F"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33AB059E" w14:textId="77777777" w:rsidR="00DC115F" w:rsidRPr="00491A41" w:rsidRDefault="00DC115F" w:rsidP="4138D473">
            <w:pPr>
              <w:pStyle w:val="Tekstpodstawowy"/>
              <w:jc w:val="center"/>
              <w:rPr>
                <w:sz w:val="22"/>
                <w:szCs w:val="22"/>
              </w:rPr>
            </w:pPr>
            <w:r w:rsidRPr="00491A41">
              <w:rPr>
                <w:sz w:val="22"/>
                <w:szCs w:val="22"/>
              </w:rPr>
              <w:t>Załączał nr 3</w:t>
            </w:r>
          </w:p>
        </w:tc>
        <w:tc>
          <w:tcPr>
            <w:tcW w:w="933" w:type="dxa"/>
            <w:tcBorders>
              <w:top w:val="single" w:sz="4" w:space="0" w:color="auto"/>
              <w:left w:val="single" w:sz="4" w:space="0" w:color="auto"/>
              <w:bottom w:val="single" w:sz="4" w:space="0" w:color="auto"/>
              <w:right w:val="single" w:sz="4" w:space="0" w:color="auto"/>
            </w:tcBorders>
          </w:tcPr>
          <w:p w14:paraId="43035CA9" w14:textId="77777777" w:rsidR="00DC115F" w:rsidRPr="00491A41" w:rsidRDefault="00DC115F" w:rsidP="4138D473">
            <w:pPr>
              <w:jc w:val="center"/>
              <w:rPr>
                <w:sz w:val="22"/>
                <w:szCs w:val="22"/>
              </w:rPr>
            </w:pPr>
            <w:r w:rsidRPr="00491A41">
              <w:rPr>
                <w:sz w:val="22"/>
                <w:szCs w:val="22"/>
              </w:rPr>
              <w:t>RCL</w:t>
            </w:r>
          </w:p>
        </w:tc>
        <w:tc>
          <w:tcPr>
            <w:tcW w:w="7938" w:type="dxa"/>
            <w:tcBorders>
              <w:top w:val="single" w:sz="4" w:space="0" w:color="auto"/>
              <w:left w:val="single" w:sz="4" w:space="0" w:color="auto"/>
              <w:bottom w:val="single" w:sz="4" w:space="0" w:color="auto"/>
              <w:right w:val="single" w:sz="4" w:space="0" w:color="auto"/>
            </w:tcBorders>
          </w:tcPr>
          <w:p w14:paraId="73068633" w14:textId="77777777" w:rsidR="00DC115F" w:rsidRPr="00491A41" w:rsidRDefault="00DC115F" w:rsidP="4138D473">
            <w:pPr>
              <w:jc w:val="both"/>
              <w:rPr>
                <w:sz w:val="22"/>
                <w:szCs w:val="22"/>
              </w:rPr>
            </w:pPr>
            <w:r w:rsidRPr="00491A41">
              <w:rPr>
                <w:sz w:val="22"/>
                <w:szCs w:val="22"/>
              </w:rPr>
              <w:t>W załączniku nr 3 do projektowanego rozporządzenia w lp. 3 weryfikacji wymaga tytuł normy, który inaczej brzmi w przepisach § 6 ust. 1 pkt 2 i ust. 2 projektu. Ponadto wymieniona norma została powołana nie w § 6 ust. 3 pkt 4, jak wskazano w tabeli załącznika (nie ma takiego przepisu w projektowanym rozporządzeniu), ale w § 6 ust. 2, co wymaga odpowiedniej korekty w załączniku. Ujednolicenia wymaga sposób powołania numeru normy w lp. 9 załącznika nr 3 z pozostałymi numerami norm powołanych w tym załączniku.</w:t>
            </w:r>
          </w:p>
        </w:tc>
        <w:tc>
          <w:tcPr>
            <w:tcW w:w="4050" w:type="dxa"/>
            <w:tcBorders>
              <w:top w:val="single" w:sz="4" w:space="0" w:color="auto"/>
              <w:left w:val="single" w:sz="4" w:space="0" w:color="auto"/>
              <w:bottom w:val="single" w:sz="4" w:space="0" w:color="auto"/>
              <w:right w:val="single" w:sz="4" w:space="0" w:color="auto"/>
            </w:tcBorders>
          </w:tcPr>
          <w:p w14:paraId="5C574551" w14:textId="77777777" w:rsidR="00DC115F" w:rsidRPr="00491A41" w:rsidRDefault="00DC115F">
            <w:pPr>
              <w:rPr>
                <w:sz w:val="22"/>
                <w:szCs w:val="22"/>
              </w:rPr>
            </w:pPr>
            <w:r w:rsidRPr="00491A41">
              <w:rPr>
                <w:sz w:val="22"/>
                <w:szCs w:val="22"/>
              </w:rPr>
              <w:t>Uwaga uwzględniona</w:t>
            </w:r>
          </w:p>
        </w:tc>
      </w:tr>
      <w:tr w:rsidR="00DC115F" w:rsidRPr="00491A41" w14:paraId="75FEC4B7"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13C18646" w14:textId="77777777" w:rsidR="00DC115F" w:rsidRPr="00491A41" w:rsidRDefault="00DC115F"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0248DCF6" w14:textId="77777777" w:rsidR="00DC115F" w:rsidRPr="00491A41" w:rsidRDefault="00DC115F">
            <w:pPr>
              <w:pStyle w:val="Tekstpodstawowy"/>
              <w:jc w:val="center"/>
              <w:rPr>
                <w:sz w:val="22"/>
                <w:szCs w:val="22"/>
              </w:rPr>
            </w:pPr>
            <w:r w:rsidRPr="00491A41">
              <w:rPr>
                <w:sz w:val="22"/>
                <w:szCs w:val="22"/>
              </w:rPr>
              <w:t>Załączał nr 3</w:t>
            </w:r>
          </w:p>
        </w:tc>
        <w:tc>
          <w:tcPr>
            <w:tcW w:w="933" w:type="dxa"/>
            <w:tcBorders>
              <w:top w:val="single" w:sz="4" w:space="0" w:color="auto"/>
              <w:left w:val="single" w:sz="4" w:space="0" w:color="auto"/>
              <w:bottom w:val="single" w:sz="4" w:space="0" w:color="auto"/>
              <w:right w:val="single" w:sz="4" w:space="0" w:color="auto"/>
            </w:tcBorders>
          </w:tcPr>
          <w:p w14:paraId="40517F51" w14:textId="15853F60" w:rsidR="00DC115F" w:rsidRPr="00491A41" w:rsidRDefault="00DC115F">
            <w:pPr>
              <w:jc w:val="center"/>
              <w:rPr>
                <w:sz w:val="22"/>
                <w:szCs w:val="22"/>
              </w:rPr>
            </w:pPr>
            <w:r w:rsidRPr="00491A41">
              <w:rPr>
                <w:sz w:val="22"/>
                <w:szCs w:val="22"/>
              </w:rPr>
              <w:t xml:space="preserve">MON uwaga </w:t>
            </w:r>
            <w:r w:rsidR="005F3DE5" w:rsidRPr="00491A41">
              <w:rPr>
                <w:sz w:val="22"/>
                <w:szCs w:val="22"/>
              </w:rPr>
              <w:t>robocza</w:t>
            </w:r>
          </w:p>
        </w:tc>
        <w:tc>
          <w:tcPr>
            <w:tcW w:w="7938" w:type="dxa"/>
            <w:tcBorders>
              <w:top w:val="single" w:sz="4" w:space="0" w:color="auto"/>
              <w:left w:val="single" w:sz="4" w:space="0" w:color="auto"/>
              <w:bottom w:val="single" w:sz="4" w:space="0" w:color="auto"/>
              <w:right w:val="single" w:sz="4" w:space="0" w:color="auto"/>
            </w:tcBorders>
          </w:tcPr>
          <w:p w14:paraId="118E17E1" w14:textId="77777777" w:rsidR="00DC115F" w:rsidRPr="00491A41" w:rsidRDefault="00DC115F">
            <w:pPr>
              <w:jc w:val="both"/>
              <w:rPr>
                <w:sz w:val="22"/>
                <w:szCs w:val="22"/>
              </w:rPr>
            </w:pPr>
            <w:r w:rsidRPr="00491A41">
              <w:rPr>
                <w:sz w:val="22"/>
                <w:szCs w:val="22"/>
              </w:rPr>
              <w:t xml:space="preserve">Korekty wymagają następujące wadliwe odesłania w tabeli załącznika nr 3 (kolumna „Przepis rozporządzenia”). </w:t>
            </w:r>
          </w:p>
          <w:p w14:paraId="1336C7DE" w14:textId="77777777" w:rsidR="00DC115F" w:rsidRPr="00491A41" w:rsidRDefault="00DC115F">
            <w:pPr>
              <w:jc w:val="both"/>
              <w:rPr>
                <w:sz w:val="22"/>
                <w:szCs w:val="22"/>
              </w:rPr>
            </w:pPr>
            <w:r w:rsidRPr="00491A41">
              <w:rPr>
                <w:sz w:val="22"/>
                <w:szCs w:val="22"/>
              </w:rPr>
              <w:t xml:space="preserve">1) W wierszu lp. 3 jest „§6 ust. 3 pkt 4”. Proponuje się skorygować to odesłanie na „§ 6 </w:t>
            </w:r>
            <w:r w:rsidRPr="00491A41">
              <w:rPr>
                <w:sz w:val="22"/>
                <w:szCs w:val="22"/>
                <w:u w:val="single"/>
              </w:rPr>
              <w:t>ust. 2</w:t>
            </w:r>
            <w:r w:rsidRPr="00491A41">
              <w:rPr>
                <w:sz w:val="22"/>
                <w:szCs w:val="22"/>
              </w:rPr>
              <w:t xml:space="preserve"> pkt 4”,</w:t>
            </w:r>
          </w:p>
          <w:p w14:paraId="379E3ACF" w14:textId="77777777" w:rsidR="00DC115F" w:rsidRPr="00491A41" w:rsidRDefault="00DC115F">
            <w:pPr>
              <w:jc w:val="both"/>
              <w:rPr>
                <w:sz w:val="22"/>
                <w:szCs w:val="22"/>
              </w:rPr>
            </w:pPr>
            <w:r w:rsidRPr="00491A41">
              <w:rPr>
                <w:sz w:val="22"/>
                <w:szCs w:val="22"/>
              </w:rPr>
              <w:t xml:space="preserve">2) W wierszu lp. 11 jest „Zał. Nr IV ust. 7”. Proponuje się zmienić odesłanie na „Zał. </w:t>
            </w:r>
            <w:r w:rsidRPr="00491A41">
              <w:rPr>
                <w:sz w:val="22"/>
                <w:szCs w:val="22"/>
                <w:u w:val="single"/>
              </w:rPr>
              <w:t>nr 2</w:t>
            </w:r>
            <w:r w:rsidRPr="00491A41">
              <w:rPr>
                <w:sz w:val="22"/>
                <w:szCs w:val="22"/>
              </w:rPr>
              <w:t xml:space="preserve"> ust. 7”.</w:t>
            </w:r>
          </w:p>
          <w:p w14:paraId="4C42E2A7" w14:textId="77777777" w:rsidR="00DC115F" w:rsidRPr="00491A41" w:rsidRDefault="00DC115F">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3CFDF723" w14:textId="77777777" w:rsidR="00DC115F" w:rsidRPr="00491A41" w:rsidRDefault="00DC115F">
            <w:pPr>
              <w:rPr>
                <w:sz w:val="22"/>
                <w:szCs w:val="22"/>
              </w:rPr>
            </w:pPr>
            <w:r w:rsidRPr="00491A41">
              <w:rPr>
                <w:sz w:val="22"/>
                <w:szCs w:val="22"/>
              </w:rPr>
              <w:t>Uwaga uwzględniona</w:t>
            </w:r>
          </w:p>
        </w:tc>
      </w:tr>
      <w:tr w:rsidR="00DC115F" w:rsidRPr="00491A41" w14:paraId="78DF464F"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49CD99DD" w14:textId="77777777" w:rsidR="00DC115F" w:rsidRPr="00491A41" w:rsidRDefault="00DC115F"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6F949703" w14:textId="77777777" w:rsidR="00DC115F" w:rsidRPr="00491A41" w:rsidRDefault="00DC115F" w:rsidP="4138D473">
            <w:pPr>
              <w:pStyle w:val="Tekstpodstawowy"/>
              <w:jc w:val="center"/>
              <w:rPr>
                <w:sz w:val="22"/>
                <w:szCs w:val="22"/>
              </w:rPr>
            </w:pPr>
            <w:r w:rsidRPr="00491A41">
              <w:rPr>
                <w:sz w:val="22"/>
                <w:szCs w:val="22"/>
              </w:rPr>
              <w:t>Załączniki</w:t>
            </w:r>
          </w:p>
        </w:tc>
        <w:tc>
          <w:tcPr>
            <w:tcW w:w="933" w:type="dxa"/>
            <w:tcBorders>
              <w:top w:val="single" w:sz="4" w:space="0" w:color="auto"/>
              <w:left w:val="single" w:sz="4" w:space="0" w:color="auto"/>
              <w:bottom w:val="single" w:sz="4" w:space="0" w:color="auto"/>
              <w:right w:val="single" w:sz="4" w:space="0" w:color="auto"/>
            </w:tcBorders>
          </w:tcPr>
          <w:p w14:paraId="3272453A" w14:textId="77777777" w:rsidR="00DC115F" w:rsidRPr="00491A41" w:rsidRDefault="00DC115F" w:rsidP="4138D473">
            <w:pPr>
              <w:jc w:val="center"/>
              <w:rPr>
                <w:sz w:val="22"/>
                <w:szCs w:val="22"/>
              </w:rPr>
            </w:pPr>
            <w:r w:rsidRPr="00491A41">
              <w:rPr>
                <w:sz w:val="22"/>
                <w:szCs w:val="22"/>
              </w:rPr>
              <w:t>RCL</w:t>
            </w:r>
          </w:p>
        </w:tc>
        <w:tc>
          <w:tcPr>
            <w:tcW w:w="7938" w:type="dxa"/>
            <w:tcBorders>
              <w:top w:val="single" w:sz="4" w:space="0" w:color="auto"/>
              <w:left w:val="single" w:sz="4" w:space="0" w:color="auto"/>
              <w:bottom w:val="single" w:sz="4" w:space="0" w:color="auto"/>
              <w:right w:val="single" w:sz="4" w:space="0" w:color="auto"/>
            </w:tcBorders>
          </w:tcPr>
          <w:p w14:paraId="64D694B7" w14:textId="77777777" w:rsidR="00DC115F" w:rsidRPr="00491A41" w:rsidRDefault="00DC115F" w:rsidP="00BD4774">
            <w:pPr>
              <w:jc w:val="both"/>
              <w:rPr>
                <w:sz w:val="22"/>
                <w:szCs w:val="22"/>
              </w:rPr>
            </w:pPr>
            <w:r w:rsidRPr="00491A41">
              <w:rPr>
                <w:sz w:val="22"/>
                <w:szCs w:val="22"/>
              </w:rPr>
              <w:t xml:space="preserve">Załączniki do projektowanego rozporządzenia, oprócz ww. zmian redakcyjnych, wymagają ponownej adiustacji, a załącznik nr 1 także poprawienia interpunkcji (wstępne propozycje poprawek, jakie proponuje się uwzględnić, o ile nie powodują zmian merytorycznych – w załączeniu). </w:t>
            </w:r>
          </w:p>
        </w:tc>
        <w:tc>
          <w:tcPr>
            <w:tcW w:w="4050" w:type="dxa"/>
            <w:tcBorders>
              <w:top w:val="single" w:sz="4" w:space="0" w:color="auto"/>
              <w:left w:val="single" w:sz="4" w:space="0" w:color="auto"/>
              <w:bottom w:val="single" w:sz="4" w:space="0" w:color="auto"/>
              <w:right w:val="single" w:sz="4" w:space="0" w:color="auto"/>
            </w:tcBorders>
          </w:tcPr>
          <w:p w14:paraId="171417BC" w14:textId="77777777" w:rsidR="00DC115F" w:rsidRPr="00491A41" w:rsidRDefault="00DC115F">
            <w:pPr>
              <w:rPr>
                <w:sz w:val="22"/>
                <w:szCs w:val="22"/>
              </w:rPr>
            </w:pPr>
            <w:r w:rsidRPr="00491A41">
              <w:rPr>
                <w:sz w:val="22"/>
                <w:szCs w:val="22"/>
              </w:rPr>
              <w:t>Uwaga uwzględniona</w:t>
            </w:r>
          </w:p>
        </w:tc>
      </w:tr>
      <w:tr w:rsidR="00DC115F" w:rsidRPr="00491A41" w14:paraId="67D11FE1"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28993BB0" w14:textId="77777777" w:rsidR="00DC115F" w:rsidRPr="00491A41" w:rsidRDefault="00DC115F"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19939380" w14:textId="77777777" w:rsidR="00DC115F" w:rsidRPr="00491A41" w:rsidRDefault="00DC115F" w:rsidP="4138D473">
            <w:pPr>
              <w:pStyle w:val="Tekstpodstawowy"/>
              <w:jc w:val="center"/>
              <w:rPr>
                <w:sz w:val="22"/>
                <w:szCs w:val="22"/>
              </w:rPr>
            </w:pPr>
            <w:r w:rsidRPr="00491A41">
              <w:rPr>
                <w:sz w:val="22"/>
                <w:szCs w:val="22"/>
              </w:rPr>
              <w:t>Uzasadnienie</w:t>
            </w:r>
          </w:p>
        </w:tc>
        <w:tc>
          <w:tcPr>
            <w:tcW w:w="933" w:type="dxa"/>
            <w:tcBorders>
              <w:top w:val="single" w:sz="4" w:space="0" w:color="auto"/>
              <w:left w:val="single" w:sz="4" w:space="0" w:color="auto"/>
              <w:bottom w:val="single" w:sz="4" w:space="0" w:color="auto"/>
              <w:right w:val="single" w:sz="4" w:space="0" w:color="auto"/>
            </w:tcBorders>
          </w:tcPr>
          <w:p w14:paraId="4D8E50B1" w14:textId="77777777" w:rsidR="00DC115F" w:rsidRPr="00491A41" w:rsidRDefault="00DC115F" w:rsidP="4138D473">
            <w:pPr>
              <w:jc w:val="center"/>
              <w:rPr>
                <w:sz w:val="22"/>
                <w:szCs w:val="22"/>
              </w:rPr>
            </w:pPr>
            <w:r w:rsidRPr="00491A41">
              <w:rPr>
                <w:sz w:val="22"/>
                <w:szCs w:val="22"/>
              </w:rPr>
              <w:t>MI</w:t>
            </w:r>
          </w:p>
        </w:tc>
        <w:tc>
          <w:tcPr>
            <w:tcW w:w="7938" w:type="dxa"/>
            <w:tcBorders>
              <w:top w:val="single" w:sz="4" w:space="0" w:color="auto"/>
              <w:left w:val="single" w:sz="4" w:space="0" w:color="auto"/>
              <w:bottom w:val="single" w:sz="4" w:space="0" w:color="auto"/>
              <w:right w:val="single" w:sz="4" w:space="0" w:color="auto"/>
            </w:tcBorders>
          </w:tcPr>
          <w:p w14:paraId="67BA832B" w14:textId="77777777" w:rsidR="00DC115F" w:rsidRPr="00491A41" w:rsidRDefault="00DC115F" w:rsidP="007E0F2D">
            <w:pPr>
              <w:jc w:val="both"/>
              <w:rPr>
                <w:sz w:val="22"/>
                <w:szCs w:val="22"/>
              </w:rPr>
            </w:pPr>
            <w:r w:rsidRPr="00491A41">
              <w:rPr>
                <w:sz w:val="22"/>
                <w:szCs w:val="22"/>
              </w:rPr>
              <w:t>W uzasadnieniu projektu rozporządzenia pojęcie „obszary wodne” powinno być wyjaśnione jako wody morza terytorialnego i morskie wody wewnętrzne oraz śródlądowe wody powierzchniowe.</w:t>
            </w:r>
          </w:p>
          <w:p w14:paraId="794705E6" w14:textId="77777777" w:rsidR="00DC115F" w:rsidRPr="00491A41" w:rsidRDefault="00DC115F" w:rsidP="00BD4774">
            <w:pPr>
              <w:jc w:val="both"/>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34BA3D5E" w14:textId="77777777" w:rsidR="00DC115F" w:rsidRPr="00491A41" w:rsidRDefault="00DC115F">
            <w:pPr>
              <w:rPr>
                <w:sz w:val="22"/>
                <w:szCs w:val="22"/>
              </w:rPr>
            </w:pPr>
            <w:r w:rsidRPr="00491A41">
              <w:rPr>
                <w:sz w:val="22"/>
                <w:szCs w:val="22"/>
              </w:rPr>
              <w:t>Uwaga uwzględniona</w:t>
            </w:r>
          </w:p>
        </w:tc>
      </w:tr>
      <w:tr w:rsidR="00DC115F" w:rsidRPr="00491A41" w14:paraId="39F888F0" w14:textId="77777777" w:rsidTr="00112975">
        <w:trPr>
          <w:trHeight w:val="168"/>
          <w:jc w:val="center"/>
        </w:trPr>
        <w:tc>
          <w:tcPr>
            <w:tcW w:w="621" w:type="dxa"/>
            <w:tcBorders>
              <w:top w:val="single" w:sz="4" w:space="0" w:color="auto"/>
              <w:left w:val="single" w:sz="4" w:space="0" w:color="auto"/>
              <w:bottom w:val="single" w:sz="4" w:space="0" w:color="auto"/>
              <w:right w:val="single" w:sz="4" w:space="0" w:color="auto"/>
            </w:tcBorders>
          </w:tcPr>
          <w:p w14:paraId="5CC0E7AF" w14:textId="77777777" w:rsidR="00DC115F" w:rsidRPr="00491A41" w:rsidRDefault="00DC115F" w:rsidP="00765C77">
            <w:pPr>
              <w:pStyle w:val="Akapitzlist"/>
              <w:numPr>
                <w:ilvl w:val="0"/>
                <w:numId w:val="39"/>
              </w:numPr>
              <w:ind w:left="357" w:hanging="357"/>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6F850275" w14:textId="77777777" w:rsidR="00DC115F" w:rsidRPr="00491A41" w:rsidRDefault="00DC115F" w:rsidP="00BC30AD">
            <w:pPr>
              <w:pStyle w:val="Tekstpodstawowy"/>
              <w:jc w:val="center"/>
              <w:rPr>
                <w:sz w:val="22"/>
                <w:szCs w:val="22"/>
              </w:rPr>
            </w:pPr>
            <w:r w:rsidRPr="00491A41">
              <w:rPr>
                <w:sz w:val="22"/>
                <w:szCs w:val="22"/>
              </w:rPr>
              <w:t xml:space="preserve">Uzasadnienie str. 44 -45 ostatni akapit  </w:t>
            </w:r>
          </w:p>
        </w:tc>
        <w:tc>
          <w:tcPr>
            <w:tcW w:w="933" w:type="dxa"/>
            <w:tcBorders>
              <w:top w:val="single" w:sz="4" w:space="0" w:color="auto"/>
              <w:left w:val="single" w:sz="4" w:space="0" w:color="auto"/>
              <w:bottom w:val="single" w:sz="4" w:space="0" w:color="auto"/>
              <w:right w:val="single" w:sz="4" w:space="0" w:color="auto"/>
            </w:tcBorders>
          </w:tcPr>
          <w:p w14:paraId="5CBC3332" w14:textId="42E66A8E" w:rsidR="00DC115F" w:rsidRPr="00491A41" w:rsidRDefault="007D1C6B" w:rsidP="4138D473">
            <w:pPr>
              <w:jc w:val="center"/>
              <w:rPr>
                <w:sz w:val="22"/>
                <w:szCs w:val="22"/>
              </w:rPr>
            </w:pPr>
            <w:proofErr w:type="spellStart"/>
            <w:r>
              <w:rPr>
                <w:sz w:val="22"/>
                <w:szCs w:val="22"/>
              </w:rPr>
              <w:t>MRiT</w:t>
            </w:r>
            <w:proofErr w:type="spellEnd"/>
            <w:r>
              <w:rPr>
                <w:sz w:val="22"/>
                <w:szCs w:val="22"/>
              </w:rPr>
              <w:t xml:space="preserve"> (d. </w:t>
            </w:r>
            <w:proofErr w:type="spellStart"/>
            <w:r>
              <w:rPr>
                <w:sz w:val="22"/>
                <w:szCs w:val="22"/>
              </w:rPr>
              <w:t>MRPiT</w:t>
            </w:r>
            <w:proofErr w:type="spellEnd"/>
            <w:r>
              <w:rPr>
                <w:sz w:val="22"/>
                <w:szCs w:val="22"/>
              </w:rPr>
              <w:t>)</w:t>
            </w:r>
          </w:p>
        </w:tc>
        <w:tc>
          <w:tcPr>
            <w:tcW w:w="7938" w:type="dxa"/>
            <w:tcBorders>
              <w:top w:val="single" w:sz="4" w:space="0" w:color="auto"/>
              <w:left w:val="single" w:sz="4" w:space="0" w:color="auto"/>
              <w:bottom w:val="single" w:sz="4" w:space="0" w:color="auto"/>
              <w:right w:val="single" w:sz="4" w:space="0" w:color="auto"/>
            </w:tcBorders>
          </w:tcPr>
          <w:p w14:paraId="3B04E632" w14:textId="77777777" w:rsidR="00DC115F" w:rsidRPr="00491A41" w:rsidRDefault="00DC115F" w:rsidP="009C6233">
            <w:pPr>
              <w:jc w:val="both"/>
              <w:rPr>
                <w:sz w:val="22"/>
                <w:szCs w:val="22"/>
              </w:rPr>
            </w:pPr>
            <w:r w:rsidRPr="00491A41">
              <w:rPr>
                <w:sz w:val="22"/>
                <w:szCs w:val="22"/>
              </w:rPr>
              <w:t>Wskazać należy, że krajowe oceny techniczne nie mogą być wydawane dla wyrobów, jeżeli nie zostały uwzględnione w załączniku nr 1 do rozporządzenia Ministra Infrastruktury i Budownictwa z dnia 17 listopada 2016 r. w sprawie sposobu deklarowania właściwości użytkowych wyrobów budowlanych oraz sposobu znakowania ich znakiem budowlanym (Dz. U. z 2016 r. poz.1966, z późn. zm.), wydanym na podstawie art. 8 ust. 8 ustawy z dnia 16 kwietnia 2004 r o wyrobach budowlanych.</w:t>
            </w:r>
          </w:p>
          <w:p w14:paraId="45FFEE9F" w14:textId="43A691B5" w:rsidR="00DC115F" w:rsidRPr="00491A41" w:rsidRDefault="00DC115F" w:rsidP="009C6233">
            <w:pPr>
              <w:jc w:val="both"/>
              <w:rPr>
                <w:sz w:val="22"/>
                <w:szCs w:val="22"/>
                <w:u w:val="single"/>
              </w:rPr>
            </w:pPr>
            <w:r w:rsidRPr="00491A41">
              <w:rPr>
                <w:sz w:val="22"/>
                <w:szCs w:val="22"/>
                <w:u w:val="single"/>
              </w:rPr>
              <w:lastRenderedPageBreak/>
              <w:t xml:space="preserve">W ww. załączniku nie zostały uwzględnione studnie </w:t>
            </w:r>
            <w:r w:rsidR="005F3DE5" w:rsidRPr="00491A41">
              <w:rPr>
                <w:sz w:val="22"/>
                <w:szCs w:val="22"/>
                <w:u w:val="single"/>
              </w:rPr>
              <w:t>kablowe - inne</w:t>
            </w:r>
            <w:r w:rsidRPr="00491A41">
              <w:rPr>
                <w:sz w:val="22"/>
                <w:szCs w:val="22"/>
                <w:u w:val="single"/>
              </w:rPr>
              <w:t xml:space="preserve"> niż prefabrykowane z betonu (np. z konstrukcyjnego tworzywa termoplastycznego o wysokiej wytrzymałości mechanicznej).</w:t>
            </w:r>
          </w:p>
          <w:p w14:paraId="0672172B" w14:textId="169D4167" w:rsidR="00DC115F" w:rsidRPr="00491A41" w:rsidRDefault="00DC115F" w:rsidP="009C6233">
            <w:pPr>
              <w:jc w:val="both"/>
              <w:rPr>
                <w:sz w:val="22"/>
                <w:szCs w:val="22"/>
              </w:rPr>
            </w:pPr>
            <w:r w:rsidRPr="00491A41">
              <w:rPr>
                <w:sz w:val="22"/>
                <w:szCs w:val="22"/>
              </w:rPr>
              <w:t xml:space="preserve">W związku </w:t>
            </w:r>
            <w:r w:rsidR="005F3DE5" w:rsidRPr="00491A41">
              <w:rPr>
                <w:sz w:val="22"/>
                <w:szCs w:val="22"/>
              </w:rPr>
              <w:t>z tym</w:t>
            </w:r>
            <w:r w:rsidRPr="00491A41">
              <w:rPr>
                <w:sz w:val="22"/>
                <w:szCs w:val="22"/>
              </w:rPr>
              <w:t xml:space="preserve"> nieuzasadniony jest, o ile przez ten zapis rozumie się jako obowiązek uzyskania certyfikatu w rozumieniu przepisów z obszaru wyrobów </w:t>
            </w:r>
            <w:r w:rsidR="005F3DE5" w:rsidRPr="00491A41">
              <w:rPr>
                <w:sz w:val="22"/>
                <w:szCs w:val="22"/>
              </w:rPr>
              <w:t>budowlanych, fragment</w:t>
            </w:r>
            <w:r w:rsidRPr="00491A41">
              <w:rPr>
                <w:sz w:val="22"/>
                <w:szCs w:val="22"/>
              </w:rPr>
              <w:t xml:space="preserve"> uzasadnienia do projektu rozporządzenia zawarty na str. 43: "Normy serii PN-EN 124 dotyczą jedynie zwieńczeń studni kablowych, w szczególności pokryw. Nie ma odpowiednich norm na korpusy studni kablowych. W związku z tym producenci zobowiązani są do certyfikowania studni kablowych w uprawnionych jednostkach badawczych, które wydają zgodnie z rozporządzeniem Ministra Infrastruktury i Budownictwa z dnia 17 listopada 2016 r. w sprawie krajowych ocen technicznych (Dz. U. z 2016 r. poz. 1968) stosowne dokumenty".</w:t>
            </w:r>
          </w:p>
        </w:tc>
        <w:tc>
          <w:tcPr>
            <w:tcW w:w="4050" w:type="dxa"/>
            <w:tcBorders>
              <w:top w:val="single" w:sz="4" w:space="0" w:color="auto"/>
              <w:left w:val="single" w:sz="4" w:space="0" w:color="auto"/>
              <w:bottom w:val="single" w:sz="4" w:space="0" w:color="auto"/>
              <w:right w:val="single" w:sz="4" w:space="0" w:color="auto"/>
            </w:tcBorders>
          </w:tcPr>
          <w:p w14:paraId="4C9E1162" w14:textId="77777777" w:rsidR="00DC115F" w:rsidRPr="00491A41" w:rsidRDefault="00DC115F">
            <w:pPr>
              <w:rPr>
                <w:sz w:val="22"/>
                <w:szCs w:val="22"/>
              </w:rPr>
            </w:pPr>
            <w:r w:rsidRPr="00491A41">
              <w:rPr>
                <w:sz w:val="22"/>
                <w:szCs w:val="22"/>
              </w:rPr>
              <w:lastRenderedPageBreak/>
              <w:t>Uwaga uwzględniona</w:t>
            </w:r>
          </w:p>
          <w:p w14:paraId="61EF7215" w14:textId="0538F92A" w:rsidR="00FD2BDE" w:rsidRPr="00491A41" w:rsidRDefault="00216AD7">
            <w:pPr>
              <w:rPr>
                <w:sz w:val="22"/>
                <w:szCs w:val="22"/>
              </w:rPr>
            </w:pPr>
            <w:r w:rsidRPr="00491A41">
              <w:rPr>
                <w:sz w:val="22"/>
                <w:szCs w:val="22"/>
              </w:rPr>
              <w:t>U</w:t>
            </w:r>
            <w:r w:rsidR="00FD2BDE" w:rsidRPr="00491A41">
              <w:rPr>
                <w:sz w:val="22"/>
                <w:szCs w:val="22"/>
              </w:rPr>
              <w:t>zupełni</w:t>
            </w:r>
            <w:r w:rsidRPr="00491A41">
              <w:rPr>
                <w:sz w:val="22"/>
                <w:szCs w:val="22"/>
              </w:rPr>
              <w:t>ono</w:t>
            </w:r>
            <w:r w:rsidR="00FD2BDE" w:rsidRPr="00491A41">
              <w:rPr>
                <w:sz w:val="22"/>
                <w:szCs w:val="22"/>
              </w:rPr>
              <w:t xml:space="preserve"> uzasadnieni</w:t>
            </w:r>
            <w:r w:rsidRPr="00491A41">
              <w:rPr>
                <w:sz w:val="22"/>
                <w:szCs w:val="22"/>
              </w:rPr>
              <w:t>e</w:t>
            </w:r>
            <w:r w:rsidR="00FD2BDE" w:rsidRPr="00491A41">
              <w:rPr>
                <w:sz w:val="22"/>
                <w:szCs w:val="22"/>
              </w:rPr>
              <w:t>.</w:t>
            </w:r>
          </w:p>
        </w:tc>
      </w:tr>
    </w:tbl>
    <w:p w14:paraId="0EAA3BF4" w14:textId="77777777" w:rsidR="00DA5447" w:rsidRPr="00491A41" w:rsidRDefault="00DA5447" w:rsidP="00165AA1">
      <w:pPr>
        <w:jc w:val="center"/>
        <w:rPr>
          <w:sz w:val="22"/>
          <w:szCs w:val="22"/>
        </w:rPr>
      </w:pPr>
    </w:p>
    <w:sectPr w:rsidR="00DA5447" w:rsidRPr="00491A41" w:rsidSect="00FB49D9">
      <w:footerReference w:type="even" r:id="rId12"/>
      <w:footerReference w:type="default" r:id="rId13"/>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746FA" w14:textId="77777777" w:rsidR="006967D7" w:rsidRDefault="006967D7" w:rsidP="00CE5BE0">
      <w:r>
        <w:separator/>
      </w:r>
    </w:p>
  </w:endnote>
  <w:endnote w:type="continuationSeparator" w:id="0">
    <w:p w14:paraId="386E7CDC" w14:textId="77777777" w:rsidR="006967D7" w:rsidRDefault="006967D7" w:rsidP="00CE5BE0">
      <w:r>
        <w:continuationSeparator/>
      </w:r>
    </w:p>
  </w:endnote>
  <w:endnote w:type="continuationNotice" w:id="1">
    <w:p w14:paraId="285D5ED6" w14:textId="77777777" w:rsidR="006967D7" w:rsidRDefault="006967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quot;Calibri&quot;,&quot;sans-serif&quo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8942" w14:textId="77777777" w:rsidR="00860F7A" w:rsidRDefault="00860F7A"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D46FEF" w14:textId="77777777" w:rsidR="00860F7A" w:rsidRDefault="00860F7A"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5387" w14:textId="77777777" w:rsidR="00860F7A" w:rsidRDefault="00860F7A"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C6C3E">
      <w:rPr>
        <w:rStyle w:val="Numerstrony"/>
        <w:noProof/>
      </w:rPr>
      <w:t>16</w:t>
    </w:r>
    <w:r>
      <w:rPr>
        <w:rStyle w:val="Numerstrony"/>
      </w:rPr>
      <w:fldChar w:fldCharType="end"/>
    </w:r>
  </w:p>
  <w:p w14:paraId="27AB1E96" w14:textId="77777777" w:rsidR="00860F7A" w:rsidRDefault="00860F7A"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1A55" w14:textId="77777777" w:rsidR="006967D7" w:rsidRDefault="006967D7" w:rsidP="00CE5BE0">
      <w:r>
        <w:separator/>
      </w:r>
    </w:p>
  </w:footnote>
  <w:footnote w:type="continuationSeparator" w:id="0">
    <w:p w14:paraId="59CFB0DF" w14:textId="77777777" w:rsidR="006967D7" w:rsidRDefault="006967D7" w:rsidP="00CE5BE0">
      <w:r>
        <w:continuationSeparator/>
      </w:r>
    </w:p>
  </w:footnote>
  <w:footnote w:type="continuationNotice" w:id="1">
    <w:p w14:paraId="05CCD610" w14:textId="77777777" w:rsidR="006967D7" w:rsidRDefault="006967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71FF"/>
    <w:multiLevelType w:val="hybridMultilevel"/>
    <w:tmpl w:val="0FDE0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945FA"/>
    <w:multiLevelType w:val="hybridMultilevel"/>
    <w:tmpl w:val="6BC4CD26"/>
    <w:lvl w:ilvl="0" w:tplc="FFFFFFFF">
      <w:start w:val="1"/>
      <w:numFmt w:val="decimal"/>
      <w:lvlText w:val="%1."/>
      <w:lvlJc w:val="left"/>
      <w:pPr>
        <w:ind w:left="785"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F5325"/>
    <w:multiLevelType w:val="hybridMultilevel"/>
    <w:tmpl w:val="26528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F0AED"/>
    <w:multiLevelType w:val="hybridMultilevel"/>
    <w:tmpl w:val="3EE66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0774B3"/>
    <w:multiLevelType w:val="hybridMultilevel"/>
    <w:tmpl w:val="86F60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C66936"/>
    <w:multiLevelType w:val="hybridMultilevel"/>
    <w:tmpl w:val="17C422B6"/>
    <w:lvl w:ilvl="0" w:tplc="0DCCCD36">
      <w:start w:val="1"/>
      <w:numFmt w:val="bullet"/>
      <w:lvlText w:val="·"/>
      <w:lvlJc w:val="left"/>
      <w:pPr>
        <w:ind w:left="720" w:hanging="360"/>
      </w:pPr>
      <w:rPr>
        <w:rFonts w:ascii="&quot;Calibri&quot;,&quot;sans-serif&quot;" w:hAnsi="&quot;Calibri&quot;,&quot;sans-serif&quot;" w:hint="default"/>
      </w:rPr>
    </w:lvl>
    <w:lvl w:ilvl="1" w:tplc="3D6E24B4">
      <w:start w:val="1"/>
      <w:numFmt w:val="bullet"/>
      <w:lvlText w:val="o"/>
      <w:lvlJc w:val="left"/>
      <w:pPr>
        <w:ind w:left="1440" w:hanging="360"/>
      </w:pPr>
      <w:rPr>
        <w:rFonts w:ascii="Courier New" w:hAnsi="Courier New" w:hint="default"/>
      </w:rPr>
    </w:lvl>
    <w:lvl w:ilvl="2" w:tplc="702CAE18">
      <w:start w:val="1"/>
      <w:numFmt w:val="bullet"/>
      <w:lvlText w:val=""/>
      <w:lvlJc w:val="left"/>
      <w:pPr>
        <w:ind w:left="2160" w:hanging="360"/>
      </w:pPr>
      <w:rPr>
        <w:rFonts w:ascii="Wingdings" w:hAnsi="Wingdings" w:hint="default"/>
      </w:rPr>
    </w:lvl>
    <w:lvl w:ilvl="3" w:tplc="73562446">
      <w:start w:val="1"/>
      <w:numFmt w:val="bullet"/>
      <w:lvlText w:val=""/>
      <w:lvlJc w:val="left"/>
      <w:pPr>
        <w:ind w:left="2880" w:hanging="360"/>
      </w:pPr>
      <w:rPr>
        <w:rFonts w:ascii="Symbol" w:hAnsi="Symbol" w:hint="default"/>
      </w:rPr>
    </w:lvl>
    <w:lvl w:ilvl="4" w:tplc="035E88A6">
      <w:start w:val="1"/>
      <w:numFmt w:val="bullet"/>
      <w:lvlText w:val="o"/>
      <w:lvlJc w:val="left"/>
      <w:pPr>
        <w:ind w:left="3600" w:hanging="360"/>
      </w:pPr>
      <w:rPr>
        <w:rFonts w:ascii="Courier New" w:hAnsi="Courier New" w:hint="default"/>
      </w:rPr>
    </w:lvl>
    <w:lvl w:ilvl="5" w:tplc="B7D04E58">
      <w:start w:val="1"/>
      <w:numFmt w:val="bullet"/>
      <w:lvlText w:val=""/>
      <w:lvlJc w:val="left"/>
      <w:pPr>
        <w:ind w:left="4320" w:hanging="360"/>
      </w:pPr>
      <w:rPr>
        <w:rFonts w:ascii="Wingdings" w:hAnsi="Wingdings" w:hint="default"/>
      </w:rPr>
    </w:lvl>
    <w:lvl w:ilvl="6" w:tplc="EE747960">
      <w:start w:val="1"/>
      <w:numFmt w:val="bullet"/>
      <w:lvlText w:val=""/>
      <w:lvlJc w:val="left"/>
      <w:pPr>
        <w:ind w:left="5040" w:hanging="360"/>
      </w:pPr>
      <w:rPr>
        <w:rFonts w:ascii="Symbol" w:hAnsi="Symbol" w:hint="default"/>
      </w:rPr>
    </w:lvl>
    <w:lvl w:ilvl="7" w:tplc="EE8E6626">
      <w:start w:val="1"/>
      <w:numFmt w:val="bullet"/>
      <w:lvlText w:val="o"/>
      <w:lvlJc w:val="left"/>
      <w:pPr>
        <w:ind w:left="5760" w:hanging="360"/>
      </w:pPr>
      <w:rPr>
        <w:rFonts w:ascii="Courier New" w:hAnsi="Courier New" w:hint="default"/>
      </w:rPr>
    </w:lvl>
    <w:lvl w:ilvl="8" w:tplc="320A1F48">
      <w:start w:val="1"/>
      <w:numFmt w:val="bullet"/>
      <w:lvlText w:val=""/>
      <w:lvlJc w:val="left"/>
      <w:pPr>
        <w:ind w:left="6480" w:hanging="360"/>
      </w:pPr>
      <w:rPr>
        <w:rFonts w:ascii="Wingdings" w:hAnsi="Wingdings" w:hint="default"/>
      </w:rPr>
    </w:lvl>
  </w:abstractNum>
  <w:abstractNum w:abstractNumId="6" w15:restartNumberingAfterBreak="0">
    <w:nsid w:val="195E5D93"/>
    <w:multiLevelType w:val="hybridMultilevel"/>
    <w:tmpl w:val="1DF6BBCC"/>
    <w:lvl w:ilvl="0" w:tplc="1CE61378">
      <w:start w:val="1"/>
      <w:numFmt w:val="decimal"/>
      <w:lvlText w:val="%1)"/>
      <w:lvlJc w:val="left"/>
      <w:pPr>
        <w:ind w:left="725" w:hanging="360"/>
      </w:pPr>
      <w:rPr>
        <w:rFonts w:ascii="Calibri" w:hAnsi="Calibri" w:hint="default"/>
        <w:b w:val="0"/>
        <w:i w:val="0"/>
        <w:color w:val="auto"/>
        <w:sz w:val="20"/>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7" w15:restartNumberingAfterBreak="0">
    <w:nsid w:val="1B8A2CFE"/>
    <w:multiLevelType w:val="hybridMultilevel"/>
    <w:tmpl w:val="77E89E1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A54773"/>
    <w:multiLevelType w:val="hybridMultilevel"/>
    <w:tmpl w:val="AC70FA60"/>
    <w:lvl w:ilvl="0" w:tplc="8C78835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F05EDE"/>
    <w:multiLevelType w:val="hybridMultilevel"/>
    <w:tmpl w:val="5D5627D4"/>
    <w:lvl w:ilvl="0" w:tplc="FFFFFFFF">
      <w:start w:val="1"/>
      <w:numFmt w:val="decimal"/>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0" w15:restartNumberingAfterBreak="0">
    <w:nsid w:val="1D696E66"/>
    <w:multiLevelType w:val="hybridMultilevel"/>
    <w:tmpl w:val="2438D6D0"/>
    <w:lvl w:ilvl="0" w:tplc="8782F79E">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1" w15:restartNumberingAfterBreak="0">
    <w:nsid w:val="1F373084"/>
    <w:multiLevelType w:val="hybridMultilevel"/>
    <w:tmpl w:val="CB82D0CA"/>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start w:val="1"/>
      <w:numFmt w:val="lowerLetter"/>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00E7A1D"/>
    <w:multiLevelType w:val="hybridMultilevel"/>
    <w:tmpl w:val="59907726"/>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1A1452"/>
    <w:multiLevelType w:val="hybridMultilevel"/>
    <w:tmpl w:val="6C846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E579D"/>
    <w:multiLevelType w:val="hybridMultilevel"/>
    <w:tmpl w:val="6BC4CD26"/>
    <w:lvl w:ilvl="0" w:tplc="FFFFFFFF">
      <w:start w:val="1"/>
      <w:numFmt w:val="decimal"/>
      <w:lvlText w:val="%1."/>
      <w:lvlJc w:val="left"/>
      <w:pPr>
        <w:ind w:left="785"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EC129E"/>
    <w:multiLevelType w:val="hybridMultilevel"/>
    <w:tmpl w:val="38D83656"/>
    <w:lvl w:ilvl="0" w:tplc="45183100">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67D24"/>
    <w:multiLevelType w:val="hybridMultilevel"/>
    <w:tmpl w:val="6BC4CD26"/>
    <w:lvl w:ilvl="0" w:tplc="FFFFFFFF">
      <w:start w:val="1"/>
      <w:numFmt w:val="decimal"/>
      <w:lvlText w:val="%1."/>
      <w:lvlJc w:val="left"/>
      <w:pPr>
        <w:ind w:left="785"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8E55C9"/>
    <w:multiLevelType w:val="hybridMultilevel"/>
    <w:tmpl w:val="3C96D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FB3F5C"/>
    <w:multiLevelType w:val="hybridMultilevel"/>
    <w:tmpl w:val="D42C2930"/>
    <w:lvl w:ilvl="0" w:tplc="A19C49A8">
      <w:start w:val="1"/>
      <w:numFmt w:val="bullet"/>
      <w:lvlText w:val=""/>
      <w:lvlJc w:val="left"/>
      <w:pPr>
        <w:ind w:left="720" w:hanging="360"/>
      </w:pPr>
      <w:rPr>
        <w:rFonts w:ascii="Symbol" w:hAnsi="Symbol" w:hint="default"/>
      </w:rPr>
    </w:lvl>
    <w:lvl w:ilvl="1" w:tplc="FE32847C">
      <w:start w:val="1"/>
      <w:numFmt w:val="lowerLetter"/>
      <w:lvlText w:val="%2."/>
      <w:lvlJc w:val="left"/>
      <w:pPr>
        <w:ind w:left="1440" w:hanging="360"/>
      </w:pPr>
    </w:lvl>
    <w:lvl w:ilvl="2" w:tplc="22520F78">
      <w:start w:val="1"/>
      <w:numFmt w:val="lowerRoman"/>
      <w:lvlText w:val="%3."/>
      <w:lvlJc w:val="right"/>
      <w:pPr>
        <w:ind w:left="2160" w:hanging="180"/>
      </w:pPr>
    </w:lvl>
    <w:lvl w:ilvl="3" w:tplc="AE20B64A">
      <w:start w:val="1"/>
      <w:numFmt w:val="decimal"/>
      <w:lvlText w:val="%4."/>
      <w:lvlJc w:val="left"/>
      <w:pPr>
        <w:ind w:left="2880" w:hanging="360"/>
      </w:pPr>
    </w:lvl>
    <w:lvl w:ilvl="4" w:tplc="A3B4B9F0">
      <w:start w:val="1"/>
      <w:numFmt w:val="lowerLetter"/>
      <w:lvlText w:val="%5."/>
      <w:lvlJc w:val="left"/>
      <w:pPr>
        <w:ind w:left="3600" w:hanging="360"/>
      </w:pPr>
    </w:lvl>
    <w:lvl w:ilvl="5" w:tplc="AFBE998A">
      <w:start w:val="1"/>
      <w:numFmt w:val="lowerRoman"/>
      <w:lvlText w:val="%6."/>
      <w:lvlJc w:val="right"/>
      <w:pPr>
        <w:ind w:left="4320" w:hanging="180"/>
      </w:pPr>
    </w:lvl>
    <w:lvl w:ilvl="6" w:tplc="BCA6C6E0">
      <w:start w:val="1"/>
      <w:numFmt w:val="decimal"/>
      <w:lvlText w:val="%7."/>
      <w:lvlJc w:val="left"/>
      <w:pPr>
        <w:ind w:left="5040" w:hanging="360"/>
      </w:pPr>
    </w:lvl>
    <w:lvl w:ilvl="7" w:tplc="148A3F38">
      <w:start w:val="1"/>
      <w:numFmt w:val="lowerLetter"/>
      <w:lvlText w:val="%8."/>
      <w:lvlJc w:val="left"/>
      <w:pPr>
        <w:ind w:left="5760" w:hanging="360"/>
      </w:pPr>
    </w:lvl>
    <w:lvl w:ilvl="8" w:tplc="9ECC7022">
      <w:start w:val="1"/>
      <w:numFmt w:val="lowerRoman"/>
      <w:lvlText w:val="%9."/>
      <w:lvlJc w:val="right"/>
      <w:pPr>
        <w:ind w:left="6480" w:hanging="180"/>
      </w:pPr>
    </w:lvl>
  </w:abstractNum>
  <w:abstractNum w:abstractNumId="19" w15:restartNumberingAfterBreak="0">
    <w:nsid w:val="2BF050E4"/>
    <w:multiLevelType w:val="hybridMultilevel"/>
    <w:tmpl w:val="CB6A58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56920"/>
    <w:multiLevelType w:val="hybridMultilevel"/>
    <w:tmpl w:val="6BC4CD26"/>
    <w:lvl w:ilvl="0" w:tplc="FFFFFFFF">
      <w:start w:val="1"/>
      <w:numFmt w:val="decimal"/>
      <w:lvlText w:val="%1."/>
      <w:lvlJc w:val="left"/>
      <w:pPr>
        <w:ind w:left="785"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BB4B2B"/>
    <w:multiLevelType w:val="hybridMultilevel"/>
    <w:tmpl w:val="ADC848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FED5630"/>
    <w:multiLevelType w:val="hybridMultilevel"/>
    <w:tmpl w:val="78106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DF10D7"/>
    <w:multiLevelType w:val="hybridMultilevel"/>
    <w:tmpl w:val="5BB0C516"/>
    <w:lvl w:ilvl="0" w:tplc="EA64BD30">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41C31F1A"/>
    <w:multiLevelType w:val="hybridMultilevel"/>
    <w:tmpl w:val="D88E7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7555D7"/>
    <w:multiLevelType w:val="hybridMultilevel"/>
    <w:tmpl w:val="DAC6644E"/>
    <w:lvl w:ilvl="0" w:tplc="0415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F34D0B"/>
    <w:multiLevelType w:val="hybridMultilevel"/>
    <w:tmpl w:val="F14A3804"/>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F7412D"/>
    <w:multiLevelType w:val="hybridMultilevel"/>
    <w:tmpl w:val="3EE66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B612D3"/>
    <w:multiLevelType w:val="hybridMultilevel"/>
    <w:tmpl w:val="9656CA78"/>
    <w:lvl w:ilvl="0" w:tplc="04150001">
      <w:start w:val="1"/>
      <w:numFmt w:val="bullet"/>
      <w:lvlText w:val=""/>
      <w:lvlJc w:val="left"/>
      <w:pPr>
        <w:ind w:left="1184" w:hanging="360"/>
      </w:pPr>
      <w:rPr>
        <w:rFonts w:ascii="Symbol" w:hAnsi="Symbol" w:hint="default"/>
      </w:rPr>
    </w:lvl>
    <w:lvl w:ilvl="1" w:tplc="04150003" w:tentative="1">
      <w:start w:val="1"/>
      <w:numFmt w:val="bullet"/>
      <w:lvlText w:val="o"/>
      <w:lvlJc w:val="left"/>
      <w:pPr>
        <w:ind w:left="1904" w:hanging="360"/>
      </w:pPr>
      <w:rPr>
        <w:rFonts w:ascii="Courier New" w:hAnsi="Courier New" w:cs="Courier New" w:hint="default"/>
      </w:rPr>
    </w:lvl>
    <w:lvl w:ilvl="2" w:tplc="04150005" w:tentative="1">
      <w:start w:val="1"/>
      <w:numFmt w:val="bullet"/>
      <w:lvlText w:val=""/>
      <w:lvlJc w:val="left"/>
      <w:pPr>
        <w:ind w:left="2624" w:hanging="360"/>
      </w:pPr>
      <w:rPr>
        <w:rFonts w:ascii="Wingdings" w:hAnsi="Wingdings" w:hint="default"/>
      </w:rPr>
    </w:lvl>
    <w:lvl w:ilvl="3" w:tplc="04150001" w:tentative="1">
      <w:start w:val="1"/>
      <w:numFmt w:val="bullet"/>
      <w:lvlText w:val=""/>
      <w:lvlJc w:val="left"/>
      <w:pPr>
        <w:ind w:left="3344" w:hanging="360"/>
      </w:pPr>
      <w:rPr>
        <w:rFonts w:ascii="Symbol" w:hAnsi="Symbol" w:hint="default"/>
      </w:rPr>
    </w:lvl>
    <w:lvl w:ilvl="4" w:tplc="04150003" w:tentative="1">
      <w:start w:val="1"/>
      <w:numFmt w:val="bullet"/>
      <w:lvlText w:val="o"/>
      <w:lvlJc w:val="left"/>
      <w:pPr>
        <w:ind w:left="4064" w:hanging="360"/>
      </w:pPr>
      <w:rPr>
        <w:rFonts w:ascii="Courier New" w:hAnsi="Courier New" w:cs="Courier New" w:hint="default"/>
      </w:rPr>
    </w:lvl>
    <w:lvl w:ilvl="5" w:tplc="04150005" w:tentative="1">
      <w:start w:val="1"/>
      <w:numFmt w:val="bullet"/>
      <w:lvlText w:val=""/>
      <w:lvlJc w:val="left"/>
      <w:pPr>
        <w:ind w:left="4784" w:hanging="360"/>
      </w:pPr>
      <w:rPr>
        <w:rFonts w:ascii="Wingdings" w:hAnsi="Wingdings" w:hint="default"/>
      </w:rPr>
    </w:lvl>
    <w:lvl w:ilvl="6" w:tplc="04150001" w:tentative="1">
      <w:start w:val="1"/>
      <w:numFmt w:val="bullet"/>
      <w:lvlText w:val=""/>
      <w:lvlJc w:val="left"/>
      <w:pPr>
        <w:ind w:left="5504" w:hanging="360"/>
      </w:pPr>
      <w:rPr>
        <w:rFonts w:ascii="Symbol" w:hAnsi="Symbol" w:hint="default"/>
      </w:rPr>
    </w:lvl>
    <w:lvl w:ilvl="7" w:tplc="04150003" w:tentative="1">
      <w:start w:val="1"/>
      <w:numFmt w:val="bullet"/>
      <w:lvlText w:val="o"/>
      <w:lvlJc w:val="left"/>
      <w:pPr>
        <w:ind w:left="6224" w:hanging="360"/>
      </w:pPr>
      <w:rPr>
        <w:rFonts w:ascii="Courier New" w:hAnsi="Courier New" w:cs="Courier New" w:hint="default"/>
      </w:rPr>
    </w:lvl>
    <w:lvl w:ilvl="8" w:tplc="04150005" w:tentative="1">
      <w:start w:val="1"/>
      <w:numFmt w:val="bullet"/>
      <w:lvlText w:val=""/>
      <w:lvlJc w:val="left"/>
      <w:pPr>
        <w:ind w:left="6944" w:hanging="360"/>
      </w:pPr>
      <w:rPr>
        <w:rFonts w:ascii="Wingdings" w:hAnsi="Wingdings" w:hint="default"/>
      </w:rPr>
    </w:lvl>
  </w:abstractNum>
  <w:abstractNum w:abstractNumId="29" w15:restartNumberingAfterBreak="0">
    <w:nsid w:val="4ACB1D29"/>
    <w:multiLevelType w:val="hybridMultilevel"/>
    <w:tmpl w:val="0B8C6B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C8748D"/>
    <w:multiLevelType w:val="hybridMultilevel"/>
    <w:tmpl w:val="167E350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8DB2402"/>
    <w:multiLevelType w:val="hybridMultilevel"/>
    <w:tmpl w:val="1B56FD4C"/>
    <w:lvl w:ilvl="0" w:tplc="04150003">
      <w:start w:val="1"/>
      <w:numFmt w:val="bullet"/>
      <w:lvlText w:val="o"/>
      <w:lvlJc w:val="left"/>
      <w:pPr>
        <w:ind w:left="857" w:hanging="360"/>
      </w:pPr>
      <w:rPr>
        <w:rFonts w:ascii="Courier New" w:hAnsi="Courier New" w:cs="Courier New" w:hint="default"/>
      </w:rPr>
    </w:lvl>
    <w:lvl w:ilvl="1" w:tplc="04090003" w:tentative="1">
      <w:start w:val="1"/>
      <w:numFmt w:val="bullet"/>
      <w:lvlText w:val="o"/>
      <w:lvlJc w:val="left"/>
      <w:pPr>
        <w:ind w:left="1577" w:hanging="360"/>
      </w:pPr>
      <w:rPr>
        <w:rFonts w:ascii="Courier New" w:hAnsi="Courier New" w:cs="Courier New" w:hint="default"/>
      </w:rPr>
    </w:lvl>
    <w:lvl w:ilvl="2" w:tplc="04090005" w:tentative="1">
      <w:start w:val="1"/>
      <w:numFmt w:val="bullet"/>
      <w:lvlText w:val=""/>
      <w:lvlJc w:val="left"/>
      <w:pPr>
        <w:ind w:left="2297" w:hanging="360"/>
      </w:pPr>
      <w:rPr>
        <w:rFonts w:ascii="Wingdings" w:hAnsi="Wingdings" w:hint="default"/>
      </w:rPr>
    </w:lvl>
    <w:lvl w:ilvl="3" w:tplc="04090001" w:tentative="1">
      <w:start w:val="1"/>
      <w:numFmt w:val="bullet"/>
      <w:lvlText w:val=""/>
      <w:lvlJc w:val="left"/>
      <w:pPr>
        <w:ind w:left="3017" w:hanging="360"/>
      </w:pPr>
      <w:rPr>
        <w:rFonts w:ascii="Symbol" w:hAnsi="Symbol" w:hint="default"/>
      </w:rPr>
    </w:lvl>
    <w:lvl w:ilvl="4" w:tplc="04090003" w:tentative="1">
      <w:start w:val="1"/>
      <w:numFmt w:val="bullet"/>
      <w:lvlText w:val="o"/>
      <w:lvlJc w:val="left"/>
      <w:pPr>
        <w:ind w:left="3737" w:hanging="360"/>
      </w:pPr>
      <w:rPr>
        <w:rFonts w:ascii="Courier New" w:hAnsi="Courier New" w:cs="Courier New" w:hint="default"/>
      </w:rPr>
    </w:lvl>
    <w:lvl w:ilvl="5" w:tplc="04090005" w:tentative="1">
      <w:start w:val="1"/>
      <w:numFmt w:val="bullet"/>
      <w:lvlText w:val=""/>
      <w:lvlJc w:val="left"/>
      <w:pPr>
        <w:ind w:left="4457" w:hanging="360"/>
      </w:pPr>
      <w:rPr>
        <w:rFonts w:ascii="Wingdings" w:hAnsi="Wingdings" w:hint="default"/>
      </w:rPr>
    </w:lvl>
    <w:lvl w:ilvl="6" w:tplc="04090001" w:tentative="1">
      <w:start w:val="1"/>
      <w:numFmt w:val="bullet"/>
      <w:lvlText w:val=""/>
      <w:lvlJc w:val="left"/>
      <w:pPr>
        <w:ind w:left="5177" w:hanging="360"/>
      </w:pPr>
      <w:rPr>
        <w:rFonts w:ascii="Symbol" w:hAnsi="Symbol" w:hint="default"/>
      </w:rPr>
    </w:lvl>
    <w:lvl w:ilvl="7" w:tplc="04090003" w:tentative="1">
      <w:start w:val="1"/>
      <w:numFmt w:val="bullet"/>
      <w:lvlText w:val="o"/>
      <w:lvlJc w:val="left"/>
      <w:pPr>
        <w:ind w:left="5897" w:hanging="360"/>
      </w:pPr>
      <w:rPr>
        <w:rFonts w:ascii="Courier New" w:hAnsi="Courier New" w:cs="Courier New" w:hint="default"/>
      </w:rPr>
    </w:lvl>
    <w:lvl w:ilvl="8" w:tplc="04090005" w:tentative="1">
      <w:start w:val="1"/>
      <w:numFmt w:val="bullet"/>
      <w:lvlText w:val=""/>
      <w:lvlJc w:val="left"/>
      <w:pPr>
        <w:ind w:left="6617" w:hanging="360"/>
      </w:pPr>
      <w:rPr>
        <w:rFonts w:ascii="Wingdings" w:hAnsi="Wingdings" w:hint="default"/>
      </w:rPr>
    </w:lvl>
  </w:abstractNum>
  <w:abstractNum w:abstractNumId="32" w15:restartNumberingAfterBreak="0">
    <w:nsid w:val="593D4BD3"/>
    <w:multiLevelType w:val="hybridMultilevel"/>
    <w:tmpl w:val="2ECA56D2"/>
    <w:lvl w:ilvl="0" w:tplc="12F6ADD8">
      <w:start w:val="1"/>
      <w:numFmt w:val="bullet"/>
      <w:lvlText w:val=""/>
      <w:lvlJc w:val="left"/>
      <w:pPr>
        <w:ind w:left="720" w:hanging="360"/>
      </w:pPr>
      <w:rPr>
        <w:rFonts w:ascii="Symbol" w:hAnsi="Symbol" w:hint="default"/>
      </w:rPr>
    </w:lvl>
    <w:lvl w:ilvl="1" w:tplc="EAA6A750">
      <w:start w:val="1"/>
      <w:numFmt w:val="bullet"/>
      <w:lvlText w:val="o"/>
      <w:lvlJc w:val="left"/>
      <w:pPr>
        <w:ind w:left="1440" w:hanging="360"/>
      </w:pPr>
      <w:rPr>
        <w:rFonts w:ascii="Courier New" w:hAnsi="Courier New" w:hint="default"/>
      </w:rPr>
    </w:lvl>
    <w:lvl w:ilvl="2" w:tplc="57FE0524">
      <w:start w:val="1"/>
      <w:numFmt w:val="bullet"/>
      <w:lvlText w:val=""/>
      <w:lvlJc w:val="left"/>
      <w:pPr>
        <w:ind w:left="2160" w:hanging="360"/>
      </w:pPr>
      <w:rPr>
        <w:rFonts w:ascii="Wingdings" w:hAnsi="Wingdings" w:hint="default"/>
      </w:rPr>
    </w:lvl>
    <w:lvl w:ilvl="3" w:tplc="9D101A6A">
      <w:start w:val="1"/>
      <w:numFmt w:val="bullet"/>
      <w:lvlText w:val=""/>
      <w:lvlJc w:val="left"/>
      <w:pPr>
        <w:ind w:left="2880" w:hanging="360"/>
      </w:pPr>
      <w:rPr>
        <w:rFonts w:ascii="Symbol" w:hAnsi="Symbol" w:hint="default"/>
      </w:rPr>
    </w:lvl>
    <w:lvl w:ilvl="4" w:tplc="976A3286">
      <w:start w:val="1"/>
      <w:numFmt w:val="bullet"/>
      <w:lvlText w:val="o"/>
      <w:lvlJc w:val="left"/>
      <w:pPr>
        <w:ind w:left="3600" w:hanging="360"/>
      </w:pPr>
      <w:rPr>
        <w:rFonts w:ascii="Courier New" w:hAnsi="Courier New" w:hint="default"/>
      </w:rPr>
    </w:lvl>
    <w:lvl w:ilvl="5" w:tplc="94B6763E">
      <w:start w:val="1"/>
      <w:numFmt w:val="bullet"/>
      <w:lvlText w:val=""/>
      <w:lvlJc w:val="left"/>
      <w:pPr>
        <w:ind w:left="4320" w:hanging="360"/>
      </w:pPr>
      <w:rPr>
        <w:rFonts w:ascii="Wingdings" w:hAnsi="Wingdings" w:hint="default"/>
      </w:rPr>
    </w:lvl>
    <w:lvl w:ilvl="6" w:tplc="B5482D1A">
      <w:start w:val="1"/>
      <w:numFmt w:val="bullet"/>
      <w:lvlText w:val=""/>
      <w:lvlJc w:val="left"/>
      <w:pPr>
        <w:ind w:left="5040" w:hanging="360"/>
      </w:pPr>
      <w:rPr>
        <w:rFonts w:ascii="Symbol" w:hAnsi="Symbol" w:hint="default"/>
      </w:rPr>
    </w:lvl>
    <w:lvl w:ilvl="7" w:tplc="C6C4C658">
      <w:start w:val="1"/>
      <w:numFmt w:val="bullet"/>
      <w:lvlText w:val="o"/>
      <w:lvlJc w:val="left"/>
      <w:pPr>
        <w:ind w:left="5760" w:hanging="360"/>
      </w:pPr>
      <w:rPr>
        <w:rFonts w:ascii="Courier New" w:hAnsi="Courier New" w:hint="default"/>
      </w:rPr>
    </w:lvl>
    <w:lvl w:ilvl="8" w:tplc="A8D6BE52">
      <w:start w:val="1"/>
      <w:numFmt w:val="bullet"/>
      <w:lvlText w:val=""/>
      <w:lvlJc w:val="left"/>
      <w:pPr>
        <w:ind w:left="6480" w:hanging="360"/>
      </w:pPr>
      <w:rPr>
        <w:rFonts w:ascii="Wingdings" w:hAnsi="Wingdings" w:hint="default"/>
      </w:rPr>
    </w:lvl>
  </w:abstractNum>
  <w:abstractNum w:abstractNumId="33" w15:restartNumberingAfterBreak="0">
    <w:nsid w:val="5B14667B"/>
    <w:multiLevelType w:val="hybridMultilevel"/>
    <w:tmpl w:val="B00EB8D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F340882"/>
    <w:multiLevelType w:val="hybridMultilevel"/>
    <w:tmpl w:val="44B8C69A"/>
    <w:lvl w:ilvl="0" w:tplc="B0727C62">
      <w:start w:val="1"/>
      <w:numFmt w:val="decimal"/>
      <w:lvlText w:val="%1."/>
      <w:lvlJc w:val="left"/>
      <w:pPr>
        <w:ind w:left="720" w:hanging="360"/>
      </w:pPr>
      <w:rPr>
        <w:rFonts w:asciiTheme="minorHAnsi" w:eastAsia="Times New Roman" w:hAnsiTheme="minorHAnsi" w:cstheme="minorHAnsi"/>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0FD0C6A"/>
    <w:multiLevelType w:val="hybridMultilevel"/>
    <w:tmpl w:val="C17084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097CFB"/>
    <w:multiLevelType w:val="hybridMultilevel"/>
    <w:tmpl w:val="6BDA27D4"/>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7D3A75"/>
    <w:multiLevelType w:val="hybridMultilevel"/>
    <w:tmpl w:val="213AEE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73929"/>
    <w:multiLevelType w:val="hybridMultilevel"/>
    <w:tmpl w:val="88D48D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557414"/>
    <w:multiLevelType w:val="hybridMultilevel"/>
    <w:tmpl w:val="070CABF4"/>
    <w:lvl w:ilvl="0" w:tplc="0415000B">
      <w:start w:val="1"/>
      <w:numFmt w:val="bullet"/>
      <w:lvlText w:val=""/>
      <w:lvlJc w:val="left"/>
      <w:pPr>
        <w:ind w:left="720" w:hanging="360"/>
      </w:pPr>
      <w:rPr>
        <w:rFonts w:ascii="Wingdings" w:hAnsi="Wingdings" w:hint="default"/>
      </w:rPr>
    </w:lvl>
    <w:lvl w:ilvl="1" w:tplc="43C680FA">
      <w:numFmt w:val="bullet"/>
      <w:lvlText w:val=""/>
      <w:lvlJc w:val="left"/>
      <w:pPr>
        <w:ind w:left="1440" w:hanging="360"/>
      </w:pPr>
      <w:rPr>
        <w:rFonts w:ascii="Symbol" w:eastAsia="Times New Roman" w:hAnsi="Symbol" w:cstheme="minorHAns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877A01"/>
    <w:multiLevelType w:val="hybridMultilevel"/>
    <w:tmpl w:val="0B60B1D0"/>
    <w:lvl w:ilvl="0" w:tplc="04150013">
      <w:start w:val="1"/>
      <w:numFmt w:val="upperRoman"/>
      <w:lvlText w:val="%1."/>
      <w:lvlJc w:val="righ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1" w15:restartNumberingAfterBreak="0">
    <w:nsid w:val="6F8767E7"/>
    <w:multiLevelType w:val="hybridMultilevel"/>
    <w:tmpl w:val="ACDE3EC2"/>
    <w:lvl w:ilvl="0" w:tplc="1084E1AA">
      <w:start w:val="1"/>
      <w:numFmt w:val="bullet"/>
      <w:lvlText w:val=""/>
      <w:lvlJc w:val="left"/>
      <w:pPr>
        <w:ind w:left="720" w:hanging="360"/>
      </w:pPr>
      <w:rPr>
        <w:rFonts w:ascii="Symbol" w:hAnsi="Symbol" w:hint="default"/>
      </w:rPr>
    </w:lvl>
    <w:lvl w:ilvl="1" w:tplc="E18E902E">
      <w:start w:val="1"/>
      <w:numFmt w:val="lowerLetter"/>
      <w:lvlText w:val="%2."/>
      <w:lvlJc w:val="left"/>
      <w:pPr>
        <w:ind w:left="1440" w:hanging="360"/>
      </w:pPr>
    </w:lvl>
    <w:lvl w:ilvl="2" w:tplc="B75CE01E">
      <w:start w:val="1"/>
      <w:numFmt w:val="lowerRoman"/>
      <w:lvlText w:val="%3."/>
      <w:lvlJc w:val="right"/>
      <w:pPr>
        <w:ind w:left="2160" w:hanging="180"/>
      </w:pPr>
    </w:lvl>
    <w:lvl w:ilvl="3" w:tplc="8A0205B0">
      <w:start w:val="1"/>
      <w:numFmt w:val="decimal"/>
      <w:lvlText w:val="%4."/>
      <w:lvlJc w:val="left"/>
      <w:pPr>
        <w:ind w:left="2880" w:hanging="360"/>
      </w:pPr>
    </w:lvl>
    <w:lvl w:ilvl="4" w:tplc="89BEA93A">
      <w:start w:val="1"/>
      <w:numFmt w:val="lowerLetter"/>
      <w:lvlText w:val="%5."/>
      <w:lvlJc w:val="left"/>
      <w:pPr>
        <w:ind w:left="3600" w:hanging="360"/>
      </w:pPr>
    </w:lvl>
    <w:lvl w:ilvl="5" w:tplc="92E852BC">
      <w:start w:val="1"/>
      <w:numFmt w:val="lowerRoman"/>
      <w:lvlText w:val="%6."/>
      <w:lvlJc w:val="right"/>
      <w:pPr>
        <w:ind w:left="4320" w:hanging="180"/>
      </w:pPr>
    </w:lvl>
    <w:lvl w:ilvl="6" w:tplc="4E0CB658">
      <w:start w:val="1"/>
      <w:numFmt w:val="decimal"/>
      <w:lvlText w:val="%7."/>
      <w:lvlJc w:val="left"/>
      <w:pPr>
        <w:ind w:left="5040" w:hanging="360"/>
      </w:pPr>
    </w:lvl>
    <w:lvl w:ilvl="7" w:tplc="DB724C8E">
      <w:start w:val="1"/>
      <w:numFmt w:val="lowerLetter"/>
      <w:lvlText w:val="%8."/>
      <w:lvlJc w:val="left"/>
      <w:pPr>
        <w:ind w:left="5760" w:hanging="360"/>
      </w:pPr>
    </w:lvl>
    <w:lvl w:ilvl="8" w:tplc="5470C11E">
      <w:start w:val="1"/>
      <w:numFmt w:val="lowerRoman"/>
      <w:lvlText w:val="%9."/>
      <w:lvlJc w:val="right"/>
      <w:pPr>
        <w:ind w:left="6480" w:hanging="180"/>
      </w:pPr>
    </w:lvl>
  </w:abstractNum>
  <w:abstractNum w:abstractNumId="42" w15:restartNumberingAfterBreak="0">
    <w:nsid w:val="720275B9"/>
    <w:multiLevelType w:val="hybridMultilevel"/>
    <w:tmpl w:val="38AC6C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61D76C2"/>
    <w:multiLevelType w:val="hybridMultilevel"/>
    <w:tmpl w:val="3EE66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77465AF"/>
    <w:multiLevelType w:val="hybridMultilevel"/>
    <w:tmpl w:val="7D82859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7E60EB5"/>
    <w:multiLevelType w:val="hybridMultilevel"/>
    <w:tmpl w:val="EB12936C"/>
    <w:lvl w:ilvl="0" w:tplc="783892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A538D"/>
    <w:multiLevelType w:val="hybridMultilevel"/>
    <w:tmpl w:val="1C404A7A"/>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EE508F"/>
    <w:multiLevelType w:val="hybridMultilevel"/>
    <w:tmpl w:val="628CED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7"/>
  </w:num>
  <w:num w:numId="5">
    <w:abstractNumId w:val="46"/>
  </w:num>
  <w:num w:numId="6">
    <w:abstractNumId w:val="23"/>
  </w:num>
  <w:num w:numId="7">
    <w:abstractNumId w:val="29"/>
  </w:num>
  <w:num w:numId="8">
    <w:abstractNumId w:val="7"/>
  </w:num>
  <w:num w:numId="9">
    <w:abstractNumId w:val="15"/>
  </w:num>
  <w:num w:numId="10">
    <w:abstractNumId w:val="40"/>
  </w:num>
  <w:num w:numId="11">
    <w:abstractNumId w:val="44"/>
  </w:num>
  <w:num w:numId="12">
    <w:abstractNumId w:val="34"/>
  </w:num>
  <w:num w:numId="13">
    <w:abstractNumId w:val="30"/>
  </w:num>
  <w:num w:numId="14">
    <w:abstractNumId w:val="39"/>
  </w:num>
  <w:num w:numId="15">
    <w:abstractNumId w:val="35"/>
  </w:num>
  <w:num w:numId="16">
    <w:abstractNumId w:val="47"/>
  </w:num>
  <w:num w:numId="17">
    <w:abstractNumId w:val="22"/>
  </w:num>
  <w:num w:numId="18">
    <w:abstractNumId w:val="19"/>
  </w:num>
  <w:num w:numId="19">
    <w:abstractNumId w:val="33"/>
  </w:num>
  <w:num w:numId="20">
    <w:abstractNumId w:val="21"/>
  </w:num>
  <w:num w:numId="21">
    <w:abstractNumId w:val="38"/>
  </w:num>
  <w:num w:numId="22">
    <w:abstractNumId w:val="28"/>
  </w:num>
  <w:num w:numId="23">
    <w:abstractNumId w:val="8"/>
  </w:num>
  <w:num w:numId="24">
    <w:abstractNumId w:val="42"/>
  </w:num>
  <w:num w:numId="25">
    <w:abstractNumId w:val="13"/>
  </w:num>
  <w:num w:numId="26">
    <w:abstractNumId w:val="25"/>
  </w:num>
  <w:num w:numId="27">
    <w:abstractNumId w:val="31"/>
  </w:num>
  <w:num w:numId="28">
    <w:abstractNumId w:val="2"/>
  </w:num>
  <w:num w:numId="29">
    <w:abstractNumId w:val="10"/>
  </w:num>
  <w:num w:numId="30">
    <w:abstractNumId w:val="12"/>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26"/>
  </w:num>
  <w:num w:numId="34">
    <w:abstractNumId w:val="0"/>
  </w:num>
  <w:num w:numId="35">
    <w:abstractNumId w:val="24"/>
  </w:num>
  <w:num w:numId="36">
    <w:abstractNumId w:val="32"/>
  </w:num>
  <w:num w:numId="37">
    <w:abstractNumId w:val="6"/>
  </w:num>
  <w:num w:numId="38">
    <w:abstractNumId w:val="18"/>
  </w:num>
  <w:num w:numId="39">
    <w:abstractNumId w:val="36"/>
  </w:num>
  <w:num w:numId="40">
    <w:abstractNumId w:val="17"/>
  </w:num>
  <w:num w:numId="41">
    <w:abstractNumId w:val="27"/>
  </w:num>
  <w:num w:numId="42">
    <w:abstractNumId w:val="43"/>
  </w:num>
  <w:num w:numId="43">
    <w:abstractNumId w:val="3"/>
  </w:num>
  <w:num w:numId="44">
    <w:abstractNumId w:val="14"/>
  </w:num>
  <w:num w:numId="45">
    <w:abstractNumId w:val="11"/>
  </w:num>
  <w:num w:numId="46">
    <w:abstractNumId w:val="9"/>
  </w:num>
  <w:num w:numId="47">
    <w:abstractNumId w:val="1"/>
  </w:num>
  <w:num w:numId="48">
    <w:abstractNumId w:val="16"/>
  </w:num>
  <w:num w:numId="4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B78"/>
    <w:rsid w:val="00003E6A"/>
    <w:rsid w:val="00010FD3"/>
    <w:rsid w:val="000113B3"/>
    <w:rsid w:val="00013350"/>
    <w:rsid w:val="00014A83"/>
    <w:rsid w:val="00014DEB"/>
    <w:rsid w:val="000170B2"/>
    <w:rsid w:val="000245E1"/>
    <w:rsid w:val="00035866"/>
    <w:rsid w:val="00041515"/>
    <w:rsid w:val="000471F8"/>
    <w:rsid w:val="000473CD"/>
    <w:rsid w:val="00051A9F"/>
    <w:rsid w:val="00052026"/>
    <w:rsid w:val="0005219E"/>
    <w:rsid w:val="00054852"/>
    <w:rsid w:val="00057D12"/>
    <w:rsid w:val="00062A0D"/>
    <w:rsid w:val="00067C9F"/>
    <w:rsid w:val="00071454"/>
    <w:rsid w:val="00073741"/>
    <w:rsid w:val="0007397E"/>
    <w:rsid w:val="00084F9E"/>
    <w:rsid w:val="00087D28"/>
    <w:rsid w:val="00090684"/>
    <w:rsid w:val="00095197"/>
    <w:rsid w:val="00095D3F"/>
    <w:rsid w:val="000A128B"/>
    <w:rsid w:val="000A4C77"/>
    <w:rsid w:val="000A66AE"/>
    <w:rsid w:val="000B0780"/>
    <w:rsid w:val="000B0FD9"/>
    <w:rsid w:val="000B1698"/>
    <w:rsid w:val="000C2B0B"/>
    <w:rsid w:val="000C4179"/>
    <w:rsid w:val="000C4314"/>
    <w:rsid w:val="000C573E"/>
    <w:rsid w:val="000D0BEA"/>
    <w:rsid w:val="000D283C"/>
    <w:rsid w:val="000D2D27"/>
    <w:rsid w:val="000D3C8E"/>
    <w:rsid w:val="000D425C"/>
    <w:rsid w:val="000D52C1"/>
    <w:rsid w:val="000D6E98"/>
    <w:rsid w:val="000E089A"/>
    <w:rsid w:val="000E0CC6"/>
    <w:rsid w:val="000E4DC3"/>
    <w:rsid w:val="000E591C"/>
    <w:rsid w:val="000E6583"/>
    <w:rsid w:val="000E6914"/>
    <w:rsid w:val="000E785B"/>
    <w:rsid w:val="000E7C8B"/>
    <w:rsid w:val="000F2BEE"/>
    <w:rsid w:val="000F4767"/>
    <w:rsid w:val="000F72A1"/>
    <w:rsid w:val="00107EB4"/>
    <w:rsid w:val="0011208F"/>
    <w:rsid w:val="00112975"/>
    <w:rsid w:val="00120690"/>
    <w:rsid w:val="001235E1"/>
    <w:rsid w:val="00124FE2"/>
    <w:rsid w:val="00126529"/>
    <w:rsid w:val="00127248"/>
    <w:rsid w:val="00130105"/>
    <w:rsid w:val="00131BB1"/>
    <w:rsid w:val="00131F9B"/>
    <w:rsid w:val="00133E96"/>
    <w:rsid w:val="00135EA3"/>
    <w:rsid w:val="00150A82"/>
    <w:rsid w:val="00152967"/>
    <w:rsid w:val="0015682D"/>
    <w:rsid w:val="00160274"/>
    <w:rsid w:val="00161AD9"/>
    <w:rsid w:val="00163704"/>
    <w:rsid w:val="00163742"/>
    <w:rsid w:val="00163805"/>
    <w:rsid w:val="00165AA1"/>
    <w:rsid w:val="00165B11"/>
    <w:rsid w:val="0016723D"/>
    <w:rsid w:val="0017294D"/>
    <w:rsid w:val="001734FA"/>
    <w:rsid w:val="00173E5D"/>
    <w:rsid w:val="00174D77"/>
    <w:rsid w:val="0017672F"/>
    <w:rsid w:val="001801CA"/>
    <w:rsid w:val="00183746"/>
    <w:rsid w:val="001917A5"/>
    <w:rsid w:val="00194B19"/>
    <w:rsid w:val="00195401"/>
    <w:rsid w:val="001A049C"/>
    <w:rsid w:val="001B1554"/>
    <w:rsid w:val="001B2EC8"/>
    <w:rsid w:val="001B6466"/>
    <w:rsid w:val="001C136E"/>
    <w:rsid w:val="001C3623"/>
    <w:rsid w:val="001C4657"/>
    <w:rsid w:val="001C554D"/>
    <w:rsid w:val="001C6239"/>
    <w:rsid w:val="001C7D79"/>
    <w:rsid w:val="001D44B7"/>
    <w:rsid w:val="001D5E66"/>
    <w:rsid w:val="001E042D"/>
    <w:rsid w:val="001E32EE"/>
    <w:rsid w:val="001E41E0"/>
    <w:rsid w:val="001E4B02"/>
    <w:rsid w:val="001E692F"/>
    <w:rsid w:val="001E6C3A"/>
    <w:rsid w:val="001E6FD6"/>
    <w:rsid w:val="001F0C67"/>
    <w:rsid w:val="001F11C9"/>
    <w:rsid w:val="001F226D"/>
    <w:rsid w:val="001F2A4C"/>
    <w:rsid w:val="001F4600"/>
    <w:rsid w:val="001F4EB1"/>
    <w:rsid w:val="00203180"/>
    <w:rsid w:val="00204F81"/>
    <w:rsid w:val="00205E4E"/>
    <w:rsid w:val="0021313F"/>
    <w:rsid w:val="00214895"/>
    <w:rsid w:val="00216AD7"/>
    <w:rsid w:val="00217564"/>
    <w:rsid w:val="00222233"/>
    <w:rsid w:val="002253EB"/>
    <w:rsid w:val="00225A5A"/>
    <w:rsid w:val="002266C2"/>
    <w:rsid w:val="00231970"/>
    <w:rsid w:val="00242C42"/>
    <w:rsid w:val="00244E7D"/>
    <w:rsid w:val="00245311"/>
    <w:rsid w:val="00253CF6"/>
    <w:rsid w:val="00254406"/>
    <w:rsid w:val="0025515C"/>
    <w:rsid w:val="002575F1"/>
    <w:rsid w:val="00263C62"/>
    <w:rsid w:val="00265D73"/>
    <w:rsid w:val="0026607D"/>
    <w:rsid w:val="00273972"/>
    <w:rsid w:val="00274C3B"/>
    <w:rsid w:val="0027557F"/>
    <w:rsid w:val="00280EF3"/>
    <w:rsid w:val="00283692"/>
    <w:rsid w:val="00290C31"/>
    <w:rsid w:val="0029438A"/>
    <w:rsid w:val="002A26CD"/>
    <w:rsid w:val="002A34B2"/>
    <w:rsid w:val="002A5F57"/>
    <w:rsid w:val="002B29FA"/>
    <w:rsid w:val="002B3C51"/>
    <w:rsid w:val="002B73FE"/>
    <w:rsid w:val="002B7B34"/>
    <w:rsid w:val="002C19F5"/>
    <w:rsid w:val="002C2455"/>
    <w:rsid w:val="002C26E1"/>
    <w:rsid w:val="002C41FD"/>
    <w:rsid w:val="002C7E3C"/>
    <w:rsid w:val="002D0076"/>
    <w:rsid w:val="002D47EC"/>
    <w:rsid w:val="002D71C1"/>
    <w:rsid w:val="002E1EF3"/>
    <w:rsid w:val="002E204E"/>
    <w:rsid w:val="002E4765"/>
    <w:rsid w:val="002F00E8"/>
    <w:rsid w:val="002F3ADF"/>
    <w:rsid w:val="002F41BF"/>
    <w:rsid w:val="002F5BBB"/>
    <w:rsid w:val="002F7AC4"/>
    <w:rsid w:val="00307A8E"/>
    <w:rsid w:val="00312AAB"/>
    <w:rsid w:val="00320FD5"/>
    <w:rsid w:val="00323F41"/>
    <w:rsid w:val="00325A2B"/>
    <w:rsid w:val="00332692"/>
    <w:rsid w:val="00332DCB"/>
    <w:rsid w:val="00333123"/>
    <w:rsid w:val="003333CA"/>
    <w:rsid w:val="0033712A"/>
    <w:rsid w:val="0034497E"/>
    <w:rsid w:val="00344B9F"/>
    <w:rsid w:val="00346856"/>
    <w:rsid w:val="00351170"/>
    <w:rsid w:val="00351A06"/>
    <w:rsid w:val="003524DF"/>
    <w:rsid w:val="00352FC8"/>
    <w:rsid w:val="00353DAF"/>
    <w:rsid w:val="0035649C"/>
    <w:rsid w:val="00356C33"/>
    <w:rsid w:val="0035700C"/>
    <w:rsid w:val="003600EF"/>
    <w:rsid w:val="003601BD"/>
    <w:rsid w:val="003624A6"/>
    <w:rsid w:val="003711CC"/>
    <w:rsid w:val="003741B3"/>
    <w:rsid w:val="00375FB3"/>
    <w:rsid w:val="00376C85"/>
    <w:rsid w:val="003809A4"/>
    <w:rsid w:val="00381A01"/>
    <w:rsid w:val="00390532"/>
    <w:rsid w:val="0039254C"/>
    <w:rsid w:val="00392A83"/>
    <w:rsid w:val="003A1993"/>
    <w:rsid w:val="003A311D"/>
    <w:rsid w:val="003B1E1F"/>
    <w:rsid w:val="003B1F76"/>
    <w:rsid w:val="003B1FCA"/>
    <w:rsid w:val="003B4C33"/>
    <w:rsid w:val="003B622E"/>
    <w:rsid w:val="003C1FCB"/>
    <w:rsid w:val="003C265E"/>
    <w:rsid w:val="003C605F"/>
    <w:rsid w:val="003C668A"/>
    <w:rsid w:val="003D0644"/>
    <w:rsid w:val="003D09FB"/>
    <w:rsid w:val="003D1155"/>
    <w:rsid w:val="003D483E"/>
    <w:rsid w:val="003D5A30"/>
    <w:rsid w:val="003D5B97"/>
    <w:rsid w:val="003D6479"/>
    <w:rsid w:val="003E0D63"/>
    <w:rsid w:val="003E1BBC"/>
    <w:rsid w:val="003E3801"/>
    <w:rsid w:val="003E7643"/>
    <w:rsid w:val="003F503D"/>
    <w:rsid w:val="003F6C6B"/>
    <w:rsid w:val="003F790E"/>
    <w:rsid w:val="00401CA0"/>
    <w:rsid w:val="004036E5"/>
    <w:rsid w:val="0040569B"/>
    <w:rsid w:val="00416AFE"/>
    <w:rsid w:val="004212CF"/>
    <w:rsid w:val="00423181"/>
    <w:rsid w:val="00427412"/>
    <w:rsid w:val="00430843"/>
    <w:rsid w:val="00437174"/>
    <w:rsid w:val="004407D1"/>
    <w:rsid w:val="00441356"/>
    <w:rsid w:val="00446A6D"/>
    <w:rsid w:val="00451D9A"/>
    <w:rsid w:val="00452BC9"/>
    <w:rsid w:val="00454200"/>
    <w:rsid w:val="00455FD9"/>
    <w:rsid w:val="00457882"/>
    <w:rsid w:val="00457F6A"/>
    <w:rsid w:val="004629F6"/>
    <w:rsid w:val="00463898"/>
    <w:rsid w:val="00465D15"/>
    <w:rsid w:val="0046617D"/>
    <w:rsid w:val="00471DC2"/>
    <w:rsid w:val="0047462F"/>
    <w:rsid w:val="00481B52"/>
    <w:rsid w:val="00482B53"/>
    <w:rsid w:val="004860A1"/>
    <w:rsid w:val="00486E45"/>
    <w:rsid w:val="00486F69"/>
    <w:rsid w:val="0048786F"/>
    <w:rsid w:val="00491A41"/>
    <w:rsid w:val="00493B21"/>
    <w:rsid w:val="00494185"/>
    <w:rsid w:val="004A0894"/>
    <w:rsid w:val="004A1C96"/>
    <w:rsid w:val="004B0FEB"/>
    <w:rsid w:val="004B2D20"/>
    <w:rsid w:val="004B3D28"/>
    <w:rsid w:val="004B429F"/>
    <w:rsid w:val="004B482D"/>
    <w:rsid w:val="004C649A"/>
    <w:rsid w:val="004C73F1"/>
    <w:rsid w:val="004D1A13"/>
    <w:rsid w:val="004D1F62"/>
    <w:rsid w:val="004D20E3"/>
    <w:rsid w:val="004D22D7"/>
    <w:rsid w:val="004D256D"/>
    <w:rsid w:val="004D6667"/>
    <w:rsid w:val="004E13EF"/>
    <w:rsid w:val="004E1A82"/>
    <w:rsid w:val="004E37D4"/>
    <w:rsid w:val="004E3EFB"/>
    <w:rsid w:val="004E6260"/>
    <w:rsid w:val="004F38E1"/>
    <w:rsid w:val="004F4368"/>
    <w:rsid w:val="00501524"/>
    <w:rsid w:val="00502C26"/>
    <w:rsid w:val="005053A0"/>
    <w:rsid w:val="005119B7"/>
    <w:rsid w:val="005152F2"/>
    <w:rsid w:val="00515602"/>
    <w:rsid w:val="00515701"/>
    <w:rsid w:val="005202BB"/>
    <w:rsid w:val="005218FA"/>
    <w:rsid w:val="005247A8"/>
    <w:rsid w:val="00524C13"/>
    <w:rsid w:val="00525B6A"/>
    <w:rsid w:val="00525C58"/>
    <w:rsid w:val="00530570"/>
    <w:rsid w:val="005314B7"/>
    <w:rsid w:val="00535CAC"/>
    <w:rsid w:val="005378A2"/>
    <w:rsid w:val="00540FA2"/>
    <w:rsid w:val="0054146D"/>
    <w:rsid w:val="0054290C"/>
    <w:rsid w:val="00547622"/>
    <w:rsid w:val="00550A2A"/>
    <w:rsid w:val="00551443"/>
    <w:rsid w:val="005533DB"/>
    <w:rsid w:val="0055472E"/>
    <w:rsid w:val="005572C0"/>
    <w:rsid w:val="005604F4"/>
    <w:rsid w:val="00562128"/>
    <w:rsid w:val="00562F7C"/>
    <w:rsid w:val="005649DA"/>
    <w:rsid w:val="00564FCD"/>
    <w:rsid w:val="0056520D"/>
    <w:rsid w:val="00570B2D"/>
    <w:rsid w:val="005729C5"/>
    <w:rsid w:val="00573713"/>
    <w:rsid w:val="0058318A"/>
    <w:rsid w:val="005848F0"/>
    <w:rsid w:val="00584E03"/>
    <w:rsid w:val="00584E61"/>
    <w:rsid w:val="0058569B"/>
    <w:rsid w:val="005911CE"/>
    <w:rsid w:val="00592229"/>
    <w:rsid w:val="00592F25"/>
    <w:rsid w:val="00595710"/>
    <w:rsid w:val="005975E5"/>
    <w:rsid w:val="005A7828"/>
    <w:rsid w:val="005B0030"/>
    <w:rsid w:val="005B2F03"/>
    <w:rsid w:val="005C08C7"/>
    <w:rsid w:val="005C168F"/>
    <w:rsid w:val="005C1B02"/>
    <w:rsid w:val="005C6C3E"/>
    <w:rsid w:val="005C76E4"/>
    <w:rsid w:val="005D013F"/>
    <w:rsid w:val="005D0E4F"/>
    <w:rsid w:val="005D2FD2"/>
    <w:rsid w:val="005D50BB"/>
    <w:rsid w:val="005D57A1"/>
    <w:rsid w:val="005D62DF"/>
    <w:rsid w:val="005D7497"/>
    <w:rsid w:val="005E24BB"/>
    <w:rsid w:val="005E4C98"/>
    <w:rsid w:val="005F2D1C"/>
    <w:rsid w:val="005F351D"/>
    <w:rsid w:val="005F3739"/>
    <w:rsid w:val="005F3DE5"/>
    <w:rsid w:val="005F6930"/>
    <w:rsid w:val="00601089"/>
    <w:rsid w:val="006015AE"/>
    <w:rsid w:val="00601919"/>
    <w:rsid w:val="00604D8D"/>
    <w:rsid w:val="00606ABB"/>
    <w:rsid w:val="0061136F"/>
    <w:rsid w:val="00613CE6"/>
    <w:rsid w:val="006143AE"/>
    <w:rsid w:val="00621DBB"/>
    <w:rsid w:val="00624462"/>
    <w:rsid w:val="0062601A"/>
    <w:rsid w:val="00626316"/>
    <w:rsid w:val="0062704D"/>
    <w:rsid w:val="00633658"/>
    <w:rsid w:val="00633B3F"/>
    <w:rsid w:val="00633C11"/>
    <w:rsid w:val="00634051"/>
    <w:rsid w:val="006366D3"/>
    <w:rsid w:val="00640293"/>
    <w:rsid w:val="006427AF"/>
    <w:rsid w:val="00644299"/>
    <w:rsid w:val="006514FD"/>
    <w:rsid w:val="00656311"/>
    <w:rsid w:val="00661B03"/>
    <w:rsid w:val="0066505E"/>
    <w:rsid w:val="006656C8"/>
    <w:rsid w:val="00667849"/>
    <w:rsid w:val="0067088A"/>
    <w:rsid w:val="0067304A"/>
    <w:rsid w:val="00674BD1"/>
    <w:rsid w:val="00676174"/>
    <w:rsid w:val="00676600"/>
    <w:rsid w:val="0067785F"/>
    <w:rsid w:val="006867B6"/>
    <w:rsid w:val="00691CFC"/>
    <w:rsid w:val="006967D7"/>
    <w:rsid w:val="00697C9D"/>
    <w:rsid w:val="0069CD17"/>
    <w:rsid w:val="006A08E2"/>
    <w:rsid w:val="006A14E1"/>
    <w:rsid w:val="006A247C"/>
    <w:rsid w:val="006B1B03"/>
    <w:rsid w:val="006B383F"/>
    <w:rsid w:val="006B430A"/>
    <w:rsid w:val="006B673B"/>
    <w:rsid w:val="006B7336"/>
    <w:rsid w:val="006C1799"/>
    <w:rsid w:val="006C5900"/>
    <w:rsid w:val="006C78FC"/>
    <w:rsid w:val="006E2B83"/>
    <w:rsid w:val="006E32D8"/>
    <w:rsid w:val="006E3F55"/>
    <w:rsid w:val="006F1B49"/>
    <w:rsid w:val="006F20DE"/>
    <w:rsid w:val="006F6913"/>
    <w:rsid w:val="006F7A9B"/>
    <w:rsid w:val="00702A85"/>
    <w:rsid w:val="00710F86"/>
    <w:rsid w:val="00713F59"/>
    <w:rsid w:val="0071505C"/>
    <w:rsid w:val="00715695"/>
    <w:rsid w:val="00717A2C"/>
    <w:rsid w:val="00720646"/>
    <w:rsid w:val="00721A17"/>
    <w:rsid w:val="00721F0D"/>
    <w:rsid w:val="00723AB8"/>
    <w:rsid w:val="00724E03"/>
    <w:rsid w:val="00725440"/>
    <w:rsid w:val="0073752C"/>
    <w:rsid w:val="007402FC"/>
    <w:rsid w:val="00742545"/>
    <w:rsid w:val="00743156"/>
    <w:rsid w:val="00743286"/>
    <w:rsid w:val="00744CA0"/>
    <w:rsid w:val="00746E38"/>
    <w:rsid w:val="00747B2C"/>
    <w:rsid w:val="00752B3A"/>
    <w:rsid w:val="00752EE0"/>
    <w:rsid w:val="007533E6"/>
    <w:rsid w:val="00753726"/>
    <w:rsid w:val="00753C5A"/>
    <w:rsid w:val="00755326"/>
    <w:rsid w:val="00760A90"/>
    <w:rsid w:val="00761DF5"/>
    <w:rsid w:val="00763E6B"/>
    <w:rsid w:val="007641BA"/>
    <w:rsid w:val="00765C77"/>
    <w:rsid w:val="007675AF"/>
    <w:rsid w:val="00771D6D"/>
    <w:rsid w:val="007815A9"/>
    <w:rsid w:val="00782890"/>
    <w:rsid w:val="00783150"/>
    <w:rsid w:val="00794DCE"/>
    <w:rsid w:val="0079738C"/>
    <w:rsid w:val="007A2043"/>
    <w:rsid w:val="007A2ECF"/>
    <w:rsid w:val="007A6D86"/>
    <w:rsid w:val="007B74BD"/>
    <w:rsid w:val="007B78F9"/>
    <w:rsid w:val="007C0575"/>
    <w:rsid w:val="007C65C6"/>
    <w:rsid w:val="007D1C6B"/>
    <w:rsid w:val="007D6292"/>
    <w:rsid w:val="007D6440"/>
    <w:rsid w:val="007D6557"/>
    <w:rsid w:val="007D6686"/>
    <w:rsid w:val="007D7513"/>
    <w:rsid w:val="007E0F2D"/>
    <w:rsid w:val="007E16F2"/>
    <w:rsid w:val="007E1F9F"/>
    <w:rsid w:val="007E3539"/>
    <w:rsid w:val="007E4720"/>
    <w:rsid w:val="007E7B98"/>
    <w:rsid w:val="007F0A2D"/>
    <w:rsid w:val="007F0D8C"/>
    <w:rsid w:val="007F47D7"/>
    <w:rsid w:val="007F799E"/>
    <w:rsid w:val="00801E8D"/>
    <w:rsid w:val="008124DD"/>
    <w:rsid w:val="00813787"/>
    <w:rsid w:val="00815C7D"/>
    <w:rsid w:val="00816EBF"/>
    <w:rsid w:val="00817113"/>
    <w:rsid w:val="00821658"/>
    <w:rsid w:val="008221B7"/>
    <w:rsid w:val="0082369C"/>
    <w:rsid w:val="00824A58"/>
    <w:rsid w:val="008276CD"/>
    <w:rsid w:val="00830E49"/>
    <w:rsid w:val="00830F01"/>
    <w:rsid w:val="0083163F"/>
    <w:rsid w:val="00833E23"/>
    <w:rsid w:val="0084172D"/>
    <w:rsid w:val="00841D7E"/>
    <w:rsid w:val="00842DD5"/>
    <w:rsid w:val="00850C5F"/>
    <w:rsid w:val="00850E36"/>
    <w:rsid w:val="00851673"/>
    <w:rsid w:val="00852326"/>
    <w:rsid w:val="008530C6"/>
    <w:rsid w:val="008539D7"/>
    <w:rsid w:val="00860F7A"/>
    <w:rsid w:val="00861405"/>
    <w:rsid w:val="00863807"/>
    <w:rsid w:val="00865101"/>
    <w:rsid w:val="008677BA"/>
    <w:rsid w:val="00871067"/>
    <w:rsid w:val="00873E7C"/>
    <w:rsid w:val="00874527"/>
    <w:rsid w:val="00875C5E"/>
    <w:rsid w:val="00876157"/>
    <w:rsid w:val="0088276D"/>
    <w:rsid w:val="00884E3B"/>
    <w:rsid w:val="0088712D"/>
    <w:rsid w:val="00894B6C"/>
    <w:rsid w:val="008B0DBD"/>
    <w:rsid w:val="008B2B88"/>
    <w:rsid w:val="008B5708"/>
    <w:rsid w:val="008B6B7B"/>
    <w:rsid w:val="008B7655"/>
    <w:rsid w:val="008B7ECE"/>
    <w:rsid w:val="008C10DC"/>
    <w:rsid w:val="008C26D3"/>
    <w:rsid w:val="008C2AF3"/>
    <w:rsid w:val="008C4CEB"/>
    <w:rsid w:val="008C71C1"/>
    <w:rsid w:val="008D29C2"/>
    <w:rsid w:val="008D300A"/>
    <w:rsid w:val="008D6976"/>
    <w:rsid w:val="008D7556"/>
    <w:rsid w:val="008E53A2"/>
    <w:rsid w:val="008E6219"/>
    <w:rsid w:val="008E6F58"/>
    <w:rsid w:val="008F532D"/>
    <w:rsid w:val="008F7F54"/>
    <w:rsid w:val="009020D5"/>
    <w:rsid w:val="00907B4A"/>
    <w:rsid w:val="0091473E"/>
    <w:rsid w:val="00916BC6"/>
    <w:rsid w:val="00923615"/>
    <w:rsid w:val="0092367F"/>
    <w:rsid w:val="00923C17"/>
    <w:rsid w:val="00924647"/>
    <w:rsid w:val="0092660F"/>
    <w:rsid w:val="00927F68"/>
    <w:rsid w:val="00930756"/>
    <w:rsid w:val="009315AA"/>
    <w:rsid w:val="0093166D"/>
    <w:rsid w:val="009328CA"/>
    <w:rsid w:val="00942AF0"/>
    <w:rsid w:val="00943432"/>
    <w:rsid w:val="00944104"/>
    <w:rsid w:val="009513DA"/>
    <w:rsid w:val="009516BA"/>
    <w:rsid w:val="009529EA"/>
    <w:rsid w:val="00952C83"/>
    <w:rsid w:val="009531A9"/>
    <w:rsid w:val="009531CD"/>
    <w:rsid w:val="00954124"/>
    <w:rsid w:val="009547DC"/>
    <w:rsid w:val="00954C02"/>
    <w:rsid w:val="009552D7"/>
    <w:rsid w:val="00956044"/>
    <w:rsid w:val="00956489"/>
    <w:rsid w:val="00956651"/>
    <w:rsid w:val="009571CC"/>
    <w:rsid w:val="009633F0"/>
    <w:rsid w:val="009727C3"/>
    <w:rsid w:val="009748EF"/>
    <w:rsid w:val="00977915"/>
    <w:rsid w:val="00981056"/>
    <w:rsid w:val="00983BB6"/>
    <w:rsid w:val="009918D6"/>
    <w:rsid w:val="00992F21"/>
    <w:rsid w:val="00994560"/>
    <w:rsid w:val="00996CF6"/>
    <w:rsid w:val="009978CD"/>
    <w:rsid w:val="009A02FF"/>
    <w:rsid w:val="009A60F7"/>
    <w:rsid w:val="009B15F2"/>
    <w:rsid w:val="009B5DF1"/>
    <w:rsid w:val="009C0D9B"/>
    <w:rsid w:val="009C1876"/>
    <w:rsid w:val="009C3B5A"/>
    <w:rsid w:val="009C6233"/>
    <w:rsid w:val="009D0509"/>
    <w:rsid w:val="009D1666"/>
    <w:rsid w:val="009D16B2"/>
    <w:rsid w:val="009D34DD"/>
    <w:rsid w:val="009D34E5"/>
    <w:rsid w:val="009D6029"/>
    <w:rsid w:val="009E1F04"/>
    <w:rsid w:val="009E2CA8"/>
    <w:rsid w:val="009E4659"/>
    <w:rsid w:val="009E4990"/>
    <w:rsid w:val="009E529C"/>
    <w:rsid w:val="009E6099"/>
    <w:rsid w:val="009F03B4"/>
    <w:rsid w:val="009F344C"/>
    <w:rsid w:val="009F47B1"/>
    <w:rsid w:val="009F4CD0"/>
    <w:rsid w:val="00A03EF6"/>
    <w:rsid w:val="00A12585"/>
    <w:rsid w:val="00A18EBA"/>
    <w:rsid w:val="00A22DDB"/>
    <w:rsid w:val="00A276C6"/>
    <w:rsid w:val="00A31944"/>
    <w:rsid w:val="00A3270B"/>
    <w:rsid w:val="00A32A7F"/>
    <w:rsid w:val="00A33EB9"/>
    <w:rsid w:val="00A34DC2"/>
    <w:rsid w:val="00A360F7"/>
    <w:rsid w:val="00A41878"/>
    <w:rsid w:val="00A44178"/>
    <w:rsid w:val="00A57451"/>
    <w:rsid w:val="00A61059"/>
    <w:rsid w:val="00A61385"/>
    <w:rsid w:val="00A630A2"/>
    <w:rsid w:val="00A648A4"/>
    <w:rsid w:val="00A70EE4"/>
    <w:rsid w:val="00A75632"/>
    <w:rsid w:val="00A77568"/>
    <w:rsid w:val="00A83153"/>
    <w:rsid w:val="00A8415E"/>
    <w:rsid w:val="00A92EC8"/>
    <w:rsid w:val="00A93618"/>
    <w:rsid w:val="00A9368A"/>
    <w:rsid w:val="00A97CFD"/>
    <w:rsid w:val="00AA3EE5"/>
    <w:rsid w:val="00AB05BE"/>
    <w:rsid w:val="00AB1A50"/>
    <w:rsid w:val="00AB1B14"/>
    <w:rsid w:val="00AB39FC"/>
    <w:rsid w:val="00AB6529"/>
    <w:rsid w:val="00AC08A1"/>
    <w:rsid w:val="00AC65F5"/>
    <w:rsid w:val="00AC7293"/>
    <w:rsid w:val="00AD06D5"/>
    <w:rsid w:val="00AD0AC1"/>
    <w:rsid w:val="00AD2439"/>
    <w:rsid w:val="00AD2CCB"/>
    <w:rsid w:val="00AD5454"/>
    <w:rsid w:val="00AD5AC0"/>
    <w:rsid w:val="00AE6393"/>
    <w:rsid w:val="00AE6F5C"/>
    <w:rsid w:val="00AE700D"/>
    <w:rsid w:val="00AF45FA"/>
    <w:rsid w:val="00AF470B"/>
    <w:rsid w:val="00AF4A81"/>
    <w:rsid w:val="00AF5B91"/>
    <w:rsid w:val="00AF7FD4"/>
    <w:rsid w:val="00B030B5"/>
    <w:rsid w:val="00B0596F"/>
    <w:rsid w:val="00B06C54"/>
    <w:rsid w:val="00B071E2"/>
    <w:rsid w:val="00B11DC0"/>
    <w:rsid w:val="00B124DD"/>
    <w:rsid w:val="00B168BE"/>
    <w:rsid w:val="00B177BC"/>
    <w:rsid w:val="00B228BB"/>
    <w:rsid w:val="00B41822"/>
    <w:rsid w:val="00B5117E"/>
    <w:rsid w:val="00B51B7D"/>
    <w:rsid w:val="00B5669C"/>
    <w:rsid w:val="00B56AA3"/>
    <w:rsid w:val="00B600E9"/>
    <w:rsid w:val="00B60F77"/>
    <w:rsid w:val="00B60FD5"/>
    <w:rsid w:val="00B64161"/>
    <w:rsid w:val="00B66D6F"/>
    <w:rsid w:val="00B701CA"/>
    <w:rsid w:val="00B70401"/>
    <w:rsid w:val="00B70A74"/>
    <w:rsid w:val="00B719A0"/>
    <w:rsid w:val="00B7310C"/>
    <w:rsid w:val="00B73CC3"/>
    <w:rsid w:val="00B751AD"/>
    <w:rsid w:val="00B77021"/>
    <w:rsid w:val="00B77F11"/>
    <w:rsid w:val="00B801D4"/>
    <w:rsid w:val="00B811D1"/>
    <w:rsid w:val="00B84AAE"/>
    <w:rsid w:val="00B873F4"/>
    <w:rsid w:val="00B87539"/>
    <w:rsid w:val="00B93470"/>
    <w:rsid w:val="00B937A2"/>
    <w:rsid w:val="00BA343F"/>
    <w:rsid w:val="00BB2FB6"/>
    <w:rsid w:val="00BB344B"/>
    <w:rsid w:val="00BB4E44"/>
    <w:rsid w:val="00BC30AD"/>
    <w:rsid w:val="00BC3B9D"/>
    <w:rsid w:val="00BC53BA"/>
    <w:rsid w:val="00BD177B"/>
    <w:rsid w:val="00BD20A4"/>
    <w:rsid w:val="00BD4261"/>
    <w:rsid w:val="00BD4774"/>
    <w:rsid w:val="00BD4DEE"/>
    <w:rsid w:val="00BD59EC"/>
    <w:rsid w:val="00BE0069"/>
    <w:rsid w:val="00BE057D"/>
    <w:rsid w:val="00BE1C8B"/>
    <w:rsid w:val="00BE25AE"/>
    <w:rsid w:val="00BE49C7"/>
    <w:rsid w:val="00BF2654"/>
    <w:rsid w:val="00BF49A7"/>
    <w:rsid w:val="00BF6C3F"/>
    <w:rsid w:val="00BF7685"/>
    <w:rsid w:val="00BF795F"/>
    <w:rsid w:val="00C019CB"/>
    <w:rsid w:val="00C11056"/>
    <w:rsid w:val="00C112AD"/>
    <w:rsid w:val="00C22389"/>
    <w:rsid w:val="00C23510"/>
    <w:rsid w:val="00C23B63"/>
    <w:rsid w:val="00C24C2C"/>
    <w:rsid w:val="00C2518F"/>
    <w:rsid w:val="00C3389E"/>
    <w:rsid w:val="00C33E23"/>
    <w:rsid w:val="00C34786"/>
    <w:rsid w:val="00C34911"/>
    <w:rsid w:val="00C37FC4"/>
    <w:rsid w:val="00C408FF"/>
    <w:rsid w:val="00C46701"/>
    <w:rsid w:val="00C5071E"/>
    <w:rsid w:val="00C560CB"/>
    <w:rsid w:val="00C5681D"/>
    <w:rsid w:val="00C62A79"/>
    <w:rsid w:val="00C63C85"/>
    <w:rsid w:val="00C67FCD"/>
    <w:rsid w:val="00C70A7D"/>
    <w:rsid w:val="00C721A4"/>
    <w:rsid w:val="00C72E18"/>
    <w:rsid w:val="00C8081F"/>
    <w:rsid w:val="00C844A5"/>
    <w:rsid w:val="00C91FEC"/>
    <w:rsid w:val="00C921F4"/>
    <w:rsid w:val="00C939F0"/>
    <w:rsid w:val="00C94837"/>
    <w:rsid w:val="00C948D9"/>
    <w:rsid w:val="00C95E9B"/>
    <w:rsid w:val="00C9773E"/>
    <w:rsid w:val="00C97788"/>
    <w:rsid w:val="00CA19CB"/>
    <w:rsid w:val="00CA2438"/>
    <w:rsid w:val="00CA2652"/>
    <w:rsid w:val="00CA6715"/>
    <w:rsid w:val="00CA7183"/>
    <w:rsid w:val="00CA7E95"/>
    <w:rsid w:val="00CB1C42"/>
    <w:rsid w:val="00CB5027"/>
    <w:rsid w:val="00CB5755"/>
    <w:rsid w:val="00CB7A15"/>
    <w:rsid w:val="00CB7D5F"/>
    <w:rsid w:val="00CC23CE"/>
    <w:rsid w:val="00CC2483"/>
    <w:rsid w:val="00CC260F"/>
    <w:rsid w:val="00CD08DE"/>
    <w:rsid w:val="00CD17EC"/>
    <w:rsid w:val="00CD6172"/>
    <w:rsid w:val="00CD79C0"/>
    <w:rsid w:val="00CD7D58"/>
    <w:rsid w:val="00CE3E46"/>
    <w:rsid w:val="00CE50A6"/>
    <w:rsid w:val="00CE5BE0"/>
    <w:rsid w:val="00CE7F94"/>
    <w:rsid w:val="00CF3258"/>
    <w:rsid w:val="00CF331F"/>
    <w:rsid w:val="00CF3D8A"/>
    <w:rsid w:val="00D03E90"/>
    <w:rsid w:val="00D0436C"/>
    <w:rsid w:val="00D10E63"/>
    <w:rsid w:val="00D200BB"/>
    <w:rsid w:val="00D26EB6"/>
    <w:rsid w:val="00D27F9B"/>
    <w:rsid w:val="00D330C9"/>
    <w:rsid w:val="00D37C40"/>
    <w:rsid w:val="00D410C5"/>
    <w:rsid w:val="00D470E9"/>
    <w:rsid w:val="00D512E9"/>
    <w:rsid w:val="00D52333"/>
    <w:rsid w:val="00D54F50"/>
    <w:rsid w:val="00D562E9"/>
    <w:rsid w:val="00D567A1"/>
    <w:rsid w:val="00D5797D"/>
    <w:rsid w:val="00D60EB6"/>
    <w:rsid w:val="00D61D9F"/>
    <w:rsid w:val="00D72A03"/>
    <w:rsid w:val="00D74A8A"/>
    <w:rsid w:val="00D819E9"/>
    <w:rsid w:val="00D81CE7"/>
    <w:rsid w:val="00D821EC"/>
    <w:rsid w:val="00D8593A"/>
    <w:rsid w:val="00D90854"/>
    <w:rsid w:val="00D93144"/>
    <w:rsid w:val="00DA180E"/>
    <w:rsid w:val="00DA513E"/>
    <w:rsid w:val="00DA5447"/>
    <w:rsid w:val="00DB0001"/>
    <w:rsid w:val="00DB2CBE"/>
    <w:rsid w:val="00DB58CC"/>
    <w:rsid w:val="00DB6B01"/>
    <w:rsid w:val="00DB7127"/>
    <w:rsid w:val="00DC115F"/>
    <w:rsid w:val="00DC1C15"/>
    <w:rsid w:val="00DC1E38"/>
    <w:rsid w:val="00DC26B6"/>
    <w:rsid w:val="00DC5AF9"/>
    <w:rsid w:val="00DD25ED"/>
    <w:rsid w:val="00DD2666"/>
    <w:rsid w:val="00DD6EB4"/>
    <w:rsid w:val="00DD7B80"/>
    <w:rsid w:val="00DD7F70"/>
    <w:rsid w:val="00DE09B5"/>
    <w:rsid w:val="00DE57B3"/>
    <w:rsid w:val="00DE5A33"/>
    <w:rsid w:val="00DE70EC"/>
    <w:rsid w:val="00DE7928"/>
    <w:rsid w:val="00DF2131"/>
    <w:rsid w:val="00DF3640"/>
    <w:rsid w:val="00DF4B4B"/>
    <w:rsid w:val="00DF664C"/>
    <w:rsid w:val="00DF69C7"/>
    <w:rsid w:val="00DF7485"/>
    <w:rsid w:val="00E00427"/>
    <w:rsid w:val="00E0253A"/>
    <w:rsid w:val="00E02A60"/>
    <w:rsid w:val="00E0346D"/>
    <w:rsid w:val="00E03F9C"/>
    <w:rsid w:val="00E0752E"/>
    <w:rsid w:val="00E1237A"/>
    <w:rsid w:val="00E1271D"/>
    <w:rsid w:val="00E13902"/>
    <w:rsid w:val="00E1564C"/>
    <w:rsid w:val="00E1580F"/>
    <w:rsid w:val="00E15E46"/>
    <w:rsid w:val="00E22219"/>
    <w:rsid w:val="00E22516"/>
    <w:rsid w:val="00E25E48"/>
    <w:rsid w:val="00E32AD5"/>
    <w:rsid w:val="00E34310"/>
    <w:rsid w:val="00E3536C"/>
    <w:rsid w:val="00E36937"/>
    <w:rsid w:val="00E4311F"/>
    <w:rsid w:val="00E47A36"/>
    <w:rsid w:val="00E545C4"/>
    <w:rsid w:val="00E55BFC"/>
    <w:rsid w:val="00E71B11"/>
    <w:rsid w:val="00E733CC"/>
    <w:rsid w:val="00E73C2E"/>
    <w:rsid w:val="00E74E0D"/>
    <w:rsid w:val="00E86E86"/>
    <w:rsid w:val="00E92DAE"/>
    <w:rsid w:val="00E9499C"/>
    <w:rsid w:val="00E962FE"/>
    <w:rsid w:val="00E9678C"/>
    <w:rsid w:val="00E97650"/>
    <w:rsid w:val="00E97A91"/>
    <w:rsid w:val="00EA0E11"/>
    <w:rsid w:val="00EA0E18"/>
    <w:rsid w:val="00EA24B4"/>
    <w:rsid w:val="00EA254C"/>
    <w:rsid w:val="00EA3A5F"/>
    <w:rsid w:val="00EA47C6"/>
    <w:rsid w:val="00EA56E6"/>
    <w:rsid w:val="00EA699E"/>
    <w:rsid w:val="00EA79CA"/>
    <w:rsid w:val="00EB0EDE"/>
    <w:rsid w:val="00EB31AF"/>
    <w:rsid w:val="00EB520C"/>
    <w:rsid w:val="00EB6311"/>
    <w:rsid w:val="00EC1752"/>
    <w:rsid w:val="00EC2105"/>
    <w:rsid w:val="00EC331C"/>
    <w:rsid w:val="00EC5E4B"/>
    <w:rsid w:val="00ED06E5"/>
    <w:rsid w:val="00ED1805"/>
    <w:rsid w:val="00ED2C93"/>
    <w:rsid w:val="00ED31F5"/>
    <w:rsid w:val="00ED7DF6"/>
    <w:rsid w:val="00EE0322"/>
    <w:rsid w:val="00EE2672"/>
    <w:rsid w:val="00EE58CF"/>
    <w:rsid w:val="00EE785C"/>
    <w:rsid w:val="00EF4018"/>
    <w:rsid w:val="00EF4A5E"/>
    <w:rsid w:val="00EF7822"/>
    <w:rsid w:val="00EF7B04"/>
    <w:rsid w:val="00F02895"/>
    <w:rsid w:val="00F02EFA"/>
    <w:rsid w:val="00F12713"/>
    <w:rsid w:val="00F13681"/>
    <w:rsid w:val="00F136D1"/>
    <w:rsid w:val="00F13DC2"/>
    <w:rsid w:val="00F15EE2"/>
    <w:rsid w:val="00F223F5"/>
    <w:rsid w:val="00F2574B"/>
    <w:rsid w:val="00F25CFB"/>
    <w:rsid w:val="00F26BE0"/>
    <w:rsid w:val="00F30679"/>
    <w:rsid w:val="00F35990"/>
    <w:rsid w:val="00F3693C"/>
    <w:rsid w:val="00F45A07"/>
    <w:rsid w:val="00F46C4A"/>
    <w:rsid w:val="00F47E86"/>
    <w:rsid w:val="00F56137"/>
    <w:rsid w:val="00F600F0"/>
    <w:rsid w:val="00F64317"/>
    <w:rsid w:val="00F65B28"/>
    <w:rsid w:val="00F65C5A"/>
    <w:rsid w:val="00F6603F"/>
    <w:rsid w:val="00F67BBF"/>
    <w:rsid w:val="00F7397E"/>
    <w:rsid w:val="00F749ED"/>
    <w:rsid w:val="00F75040"/>
    <w:rsid w:val="00F75A62"/>
    <w:rsid w:val="00F7685C"/>
    <w:rsid w:val="00F77C13"/>
    <w:rsid w:val="00F8346C"/>
    <w:rsid w:val="00F84BC9"/>
    <w:rsid w:val="00F8581F"/>
    <w:rsid w:val="00F8662A"/>
    <w:rsid w:val="00F933E0"/>
    <w:rsid w:val="00F94E90"/>
    <w:rsid w:val="00F961A7"/>
    <w:rsid w:val="00F96E51"/>
    <w:rsid w:val="00F97C12"/>
    <w:rsid w:val="00FA0B53"/>
    <w:rsid w:val="00FA2304"/>
    <w:rsid w:val="00FA3751"/>
    <w:rsid w:val="00FA60B0"/>
    <w:rsid w:val="00FA631F"/>
    <w:rsid w:val="00FB43EB"/>
    <w:rsid w:val="00FB49D9"/>
    <w:rsid w:val="00FB61B6"/>
    <w:rsid w:val="00FB7DCE"/>
    <w:rsid w:val="00FC0EDD"/>
    <w:rsid w:val="00FC2D48"/>
    <w:rsid w:val="00FC74E3"/>
    <w:rsid w:val="00FD1AD0"/>
    <w:rsid w:val="00FD1F8E"/>
    <w:rsid w:val="00FD299D"/>
    <w:rsid w:val="00FD2BDE"/>
    <w:rsid w:val="00FE1DC9"/>
    <w:rsid w:val="00FE340D"/>
    <w:rsid w:val="00FE5F2D"/>
    <w:rsid w:val="00FE747C"/>
    <w:rsid w:val="00FE791D"/>
    <w:rsid w:val="00FF0BC9"/>
    <w:rsid w:val="00FF4D03"/>
    <w:rsid w:val="00FF5B59"/>
    <w:rsid w:val="00FF67CE"/>
    <w:rsid w:val="00FF72AF"/>
    <w:rsid w:val="016B90AD"/>
    <w:rsid w:val="018DDF0B"/>
    <w:rsid w:val="01B07228"/>
    <w:rsid w:val="01DAF680"/>
    <w:rsid w:val="01FD4F11"/>
    <w:rsid w:val="02689894"/>
    <w:rsid w:val="0273CD7D"/>
    <w:rsid w:val="028CD746"/>
    <w:rsid w:val="02B1C5B3"/>
    <w:rsid w:val="02D991E1"/>
    <w:rsid w:val="02E8E585"/>
    <w:rsid w:val="02F7D676"/>
    <w:rsid w:val="0315FF38"/>
    <w:rsid w:val="0346DA24"/>
    <w:rsid w:val="03609B19"/>
    <w:rsid w:val="03803AFB"/>
    <w:rsid w:val="03868C28"/>
    <w:rsid w:val="03B00455"/>
    <w:rsid w:val="040FEF5F"/>
    <w:rsid w:val="0412643F"/>
    <w:rsid w:val="0473B5A8"/>
    <w:rsid w:val="04989EBF"/>
    <w:rsid w:val="04AB6295"/>
    <w:rsid w:val="04F1E309"/>
    <w:rsid w:val="04FF1067"/>
    <w:rsid w:val="0525CD77"/>
    <w:rsid w:val="052AC036"/>
    <w:rsid w:val="0552DA66"/>
    <w:rsid w:val="055ADFB6"/>
    <w:rsid w:val="057DD11C"/>
    <w:rsid w:val="0590C3D3"/>
    <w:rsid w:val="05A9BB33"/>
    <w:rsid w:val="05DB97FF"/>
    <w:rsid w:val="05DF2CAC"/>
    <w:rsid w:val="05E8C456"/>
    <w:rsid w:val="0634EDB8"/>
    <w:rsid w:val="065AACA1"/>
    <w:rsid w:val="0679AE5F"/>
    <w:rsid w:val="0691CA77"/>
    <w:rsid w:val="06987B71"/>
    <w:rsid w:val="06C70D41"/>
    <w:rsid w:val="06DF8A24"/>
    <w:rsid w:val="06F3507C"/>
    <w:rsid w:val="07023E0E"/>
    <w:rsid w:val="0703BD10"/>
    <w:rsid w:val="07557B2E"/>
    <w:rsid w:val="076FFE4A"/>
    <w:rsid w:val="079A8F5B"/>
    <w:rsid w:val="07A5EE7F"/>
    <w:rsid w:val="07ABD5B7"/>
    <w:rsid w:val="080190C6"/>
    <w:rsid w:val="0853D4F1"/>
    <w:rsid w:val="08599306"/>
    <w:rsid w:val="0928AB6A"/>
    <w:rsid w:val="09441A84"/>
    <w:rsid w:val="098D00B6"/>
    <w:rsid w:val="09D47999"/>
    <w:rsid w:val="0A080EA0"/>
    <w:rsid w:val="0A77D7E9"/>
    <w:rsid w:val="0A853439"/>
    <w:rsid w:val="0A8D4646"/>
    <w:rsid w:val="0AB48151"/>
    <w:rsid w:val="0B207DF7"/>
    <w:rsid w:val="0BEBFB2D"/>
    <w:rsid w:val="0BED9255"/>
    <w:rsid w:val="0BF0DB84"/>
    <w:rsid w:val="0C1B1578"/>
    <w:rsid w:val="0C2084D2"/>
    <w:rsid w:val="0C4F029B"/>
    <w:rsid w:val="0CE66539"/>
    <w:rsid w:val="0D242A77"/>
    <w:rsid w:val="0D430AAB"/>
    <w:rsid w:val="0D8B8532"/>
    <w:rsid w:val="0DA5F134"/>
    <w:rsid w:val="0DE03373"/>
    <w:rsid w:val="0DE4B864"/>
    <w:rsid w:val="0E2DA4F1"/>
    <w:rsid w:val="0E583604"/>
    <w:rsid w:val="0E610C8C"/>
    <w:rsid w:val="0E794E13"/>
    <w:rsid w:val="0EF1DE66"/>
    <w:rsid w:val="0F921531"/>
    <w:rsid w:val="0FF54C73"/>
    <w:rsid w:val="102C7ED4"/>
    <w:rsid w:val="10AA795A"/>
    <w:rsid w:val="10F61855"/>
    <w:rsid w:val="110F1254"/>
    <w:rsid w:val="1124D453"/>
    <w:rsid w:val="112F1B91"/>
    <w:rsid w:val="114446D6"/>
    <w:rsid w:val="11472DCD"/>
    <w:rsid w:val="115CFF26"/>
    <w:rsid w:val="11689AAC"/>
    <w:rsid w:val="11C81E12"/>
    <w:rsid w:val="11EB6C7B"/>
    <w:rsid w:val="1223FF5F"/>
    <w:rsid w:val="124E8D7E"/>
    <w:rsid w:val="1255AD18"/>
    <w:rsid w:val="1262F134"/>
    <w:rsid w:val="12817871"/>
    <w:rsid w:val="12B6F544"/>
    <w:rsid w:val="12DE29EA"/>
    <w:rsid w:val="12E72DDC"/>
    <w:rsid w:val="13265DD6"/>
    <w:rsid w:val="137FC512"/>
    <w:rsid w:val="13C822F9"/>
    <w:rsid w:val="13C88043"/>
    <w:rsid w:val="13CD8C11"/>
    <w:rsid w:val="144F7492"/>
    <w:rsid w:val="147F5609"/>
    <w:rsid w:val="14A36E6D"/>
    <w:rsid w:val="14DC2E37"/>
    <w:rsid w:val="154D721B"/>
    <w:rsid w:val="1572BAC2"/>
    <w:rsid w:val="1597232E"/>
    <w:rsid w:val="15B5E963"/>
    <w:rsid w:val="15D63B1C"/>
    <w:rsid w:val="1614FBC0"/>
    <w:rsid w:val="1667CE34"/>
    <w:rsid w:val="167965EC"/>
    <w:rsid w:val="16BAEEF4"/>
    <w:rsid w:val="171A7BFF"/>
    <w:rsid w:val="1748B11B"/>
    <w:rsid w:val="17565F0E"/>
    <w:rsid w:val="177FF0CE"/>
    <w:rsid w:val="17CC7223"/>
    <w:rsid w:val="17D7DEFC"/>
    <w:rsid w:val="17E28FFB"/>
    <w:rsid w:val="18244CCF"/>
    <w:rsid w:val="184FCC75"/>
    <w:rsid w:val="18944F41"/>
    <w:rsid w:val="18B9273E"/>
    <w:rsid w:val="18D55878"/>
    <w:rsid w:val="18F6DB7F"/>
    <w:rsid w:val="19078475"/>
    <w:rsid w:val="190EF5D9"/>
    <w:rsid w:val="191C9591"/>
    <w:rsid w:val="195E06D9"/>
    <w:rsid w:val="19C20928"/>
    <w:rsid w:val="1A2184B0"/>
    <w:rsid w:val="1A2E6483"/>
    <w:rsid w:val="1A68F9E3"/>
    <w:rsid w:val="1A754F07"/>
    <w:rsid w:val="1A916E25"/>
    <w:rsid w:val="1AA35D14"/>
    <w:rsid w:val="1AA368BE"/>
    <w:rsid w:val="1ABDF58B"/>
    <w:rsid w:val="1ABE2445"/>
    <w:rsid w:val="1B081816"/>
    <w:rsid w:val="1B2FC6A4"/>
    <w:rsid w:val="1BADFAB8"/>
    <w:rsid w:val="1BCADE43"/>
    <w:rsid w:val="1C1A118D"/>
    <w:rsid w:val="1C1AC69D"/>
    <w:rsid w:val="1C4CFEFC"/>
    <w:rsid w:val="1C70FC17"/>
    <w:rsid w:val="1CB39D33"/>
    <w:rsid w:val="1CD1E4FC"/>
    <w:rsid w:val="1CF399CC"/>
    <w:rsid w:val="1CFA9DFE"/>
    <w:rsid w:val="1D5362CD"/>
    <w:rsid w:val="1D98ABE6"/>
    <w:rsid w:val="1DDEF774"/>
    <w:rsid w:val="1DDEFCD8"/>
    <w:rsid w:val="1E56AA26"/>
    <w:rsid w:val="1E8F88C6"/>
    <w:rsid w:val="1E9DFE5B"/>
    <w:rsid w:val="1EACA0AC"/>
    <w:rsid w:val="1EEFF592"/>
    <w:rsid w:val="1EF76FBA"/>
    <w:rsid w:val="1F4570CF"/>
    <w:rsid w:val="1F9D63A1"/>
    <w:rsid w:val="1FA2C7A3"/>
    <w:rsid w:val="1FC03A03"/>
    <w:rsid w:val="1FC67FE5"/>
    <w:rsid w:val="1FD8D707"/>
    <w:rsid w:val="2029611B"/>
    <w:rsid w:val="2074566C"/>
    <w:rsid w:val="2093D6F2"/>
    <w:rsid w:val="20B0C58B"/>
    <w:rsid w:val="20D61951"/>
    <w:rsid w:val="210CEDF6"/>
    <w:rsid w:val="213E99F3"/>
    <w:rsid w:val="2163C7BC"/>
    <w:rsid w:val="2196584F"/>
    <w:rsid w:val="21DB8253"/>
    <w:rsid w:val="21EB286A"/>
    <w:rsid w:val="22093972"/>
    <w:rsid w:val="22D477DC"/>
    <w:rsid w:val="22F5AF5F"/>
    <w:rsid w:val="23093016"/>
    <w:rsid w:val="23141A5A"/>
    <w:rsid w:val="235CD9F0"/>
    <w:rsid w:val="236FCF83"/>
    <w:rsid w:val="23FF8342"/>
    <w:rsid w:val="24119E5E"/>
    <w:rsid w:val="24590CD8"/>
    <w:rsid w:val="245A1AC6"/>
    <w:rsid w:val="24613D5B"/>
    <w:rsid w:val="24BDB55A"/>
    <w:rsid w:val="24D929CC"/>
    <w:rsid w:val="250B0328"/>
    <w:rsid w:val="2522A4A8"/>
    <w:rsid w:val="2531BF8E"/>
    <w:rsid w:val="2538B430"/>
    <w:rsid w:val="25CAD28B"/>
    <w:rsid w:val="25F15EC4"/>
    <w:rsid w:val="26016758"/>
    <w:rsid w:val="2639AB80"/>
    <w:rsid w:val="264F2912"/>
    <w:rsid w:val="266A6194"/>
    <w:rsid w:val="269416A2"/>
    <w:rsid w:val="26A0EE3B"/>
    <w:rsid w:val="2746B7FD"/>
    <w:rsid w:val="275E81BA"/>
    <w:rsid w:val="27836E9F"/>
    <w:rsid w:val="281094EF"/>
    <w:rsid w:val="28922242"/>
    <w:rsid w:val="28DBD336"/>
    <w:rsid w:val="290C098C"/>
    <w:rsid w:val="292A05F5"/>
    <w:rsid w:val="2956D41E"/>
    <w:rsid w:val="2A215604"/>
    <w:rsid w:val="2A226D18"/>
    <w:rsid w:val="2A307AE5"/>
    <w:rsid w:val="2A37425B"/>
    <w:rsid w:val="2A6A6576"/>
    <w:rsid w:val="2A798606"/>
    <w:rsid w:val="2A88D8B3"/>
    <w:rsid w:val="2A89C4FB"/>
    <w:rsid w:val="2ABD8FC2"/>
    <w:rsid w:val="2AF1FDD9"/>
    <w:rsid w:val="2B34F7BE"/>
    <w:rsid w:val="2B4A3183"/>
    <w:rsid w:val="2B68755C"/>
    <w:rsid w:val="2B9430E7"/>
    <w:rsid w:val="2BDE0BC7"/>
    <w:rsid w:val="2C32089F"/>
    <w:rsid w:val="2C32C3BB"/>
    <w:rsid w:val="2C8D2658"/>
    <w:rsid w:val="2CA077B6"/>
    <w:rsid w:val="2CA91174"/>
    <w:rsid w:val="2CAF3CB7"/>
    <w:rsid w:val="2CC57B18"/>
    <w:rsid w:val="2DBC4285"/>
    <w:rsid w:val="2E1B2CB4"/>
    <w:rsid w:val="2E285785"/>
    <w:rsid w:val="2E2A2DDE"/>
    <w:rsid w:val="2E46BD83"/>
    <w:rsid w:val="2EC750A1"/>
    <w:rsid w:val="2EC9A03B"/>
    <w:rsid w:val="2FA51E80"/>
    <w:rsid w:val="2FBBC771"/>
    <w:rsid w:val="2FC0C176"/>
    <w:rsid w:val="2FDE914F"/>
    <w:rsid w:val="30280E83"/>
    <w:rsid w:val="3105AED5"/>
    <w:rsid w:val="31091380"/>
    <w:rsid w:val="3128E398"/>
    <w:rsid w:val="3140616A"/>
    <w:rsid w:val="3178EA7F"/>
    <w:rsid w:val="317A8990"/>
    <w:rsid w:val="31BEBA73"/>
    <w:rsid w:val="31BF6284"/>
    <w:rsid w:val="31C9F361"/>
    <w:rsid w:val="31E96231"/>
    <w:rsid w:val="31EB2327"/>
    <w:rsid w:val="321E21B2"/>
    <w:rsid w:val="3226333D"/>
    <w:rsid w:val="3309F937"/>
    <w:rsid w:val="3311531F"/>
    <w:rsid w:val="3312AA59"/>
    <w:rsid w:val="33161196"/>
    <w:rsid w:val="3327C31D"/>
    <w:rsid w:val="33351BCC"/>
    <w:rsid w:val="33399556"/>
    <w:rsid w:val="336EDC56"/>
    <w:rsid w:val="337A6C62"/>
    <w:rsid w:val="33A89C6E"/>
    <w:rsid w:val="33C6E070"/>
    <w:rsid w:val="33EE7C19"/>
    <w:rsid w:val="33F4B049"/>
    <w:rsid w:val="341BA56E"/>
    <w:rsid w:val="343D330D"/>
    <w:rsid w:val="3445DAB7"/>
    <w:rsid w:val="3446AD3C"/>
    <w:rsid w:val="3464C5F8"/>
    <w:rsid w:val="346973F4"/>
    <w:rsid w:val="348C0727"/>
    <w:rsid w:val="349F8669"/>
    <w:rsid w:val="34B42A17"/>
    <w:rsid w:val="34F6620A"/>
    <w:rsid w:val="3520606E"/>
    <w:rsid w:val="35346719"/>
    <w:rsid w:val="35354F58"/>
    <w:rsid w:val="357379AD"/>
    <w:rsid w:val="358C5F70"/>
    <w:rsid w:val="358EF66A"/>
    <w:rsid w:val="35B2C6AC"/>
    <w:rsid w:val="35CDB478"/>
    <w:rsid w:val="363B2E04"/>
    <w:rsid w:val="3647FC8D"/>
    <w:rsid w:val="36ABDA8F"/>
    <w:rsid w:val="3707E650"/>
    <w:rsid w:val="371AA762"/>
    <w:rsid w:val="371BF6C3"/>
    <w:rsid w:val="37426B87"/>
    <w:rsid w:val="3747A73D"/>
    <w:rsid w:val="377CB349"/>
    <w:rsid w:val="37B2200A"/>
    <w:rsid w:val="37B32F49"/>
    <w:rsid w:val="37D68C96"/>
    <w:rsid w:val="3832B197"/>
    <w:rsid w:val="383CF722"/>
    <w:rsid w:val="3851E713"/>
    <w:rsid w:val="387A63F9"/>
    <w:rsid w:val="3887CF17"/>
    <w:rsid w:val="38CA1F2C"/>
    <w:rsid w:val="39258256"/>
    <w:rsid w:val="39620D59"/>
    <w:rsid w:val="39764CBB"/>
    <w:rsid w:val="3A4200B4"/>
    <w:rsid w:val="3A4A04CB"/>
    <w:rsid w:val="3A6A7016"/>
    <w:rsid w:val="3A70ADAB"/>
    <w:rsid w:val="3AC7D9D9"/>
    <w:rsid w:val="3B3A5E82"/>
    <w:rsid w:val="3B54B346"/>
    <w:rsid w:val="3BAD9A64"/>
    <w:rsid w:val="3C4EC107"/>
    <w:rsid w:val="3C660910"/>
    <w:rsid w:val="3C8F53A9"/>
    <w:rsid w:val="3C9F4A66"/>
    <w:rsid w:val="3CBC3D68"/>
    <w:rsid w:val="3D4B2DBF"/>
    <w:rsid w:val="3D580A9A"/>
    <w:rsid w:val="3D5F925A"/>
    <w:rsid w:val="3D7EA9A0"/>
    <w:rsid w:val="3DBBC2B9"/>
    <w:rsid w:val="3DDE472F"/>
    <w:rsid w:val="3DE827AD"/>
    <w:rsid w:val="3DEF54BE"/>
    <w:rsid w:val="3DF790C5"/>
    <w:rsid w:val="3E1ABD8B"/>
    <w:rsid w:val="3E4B9078"/>
    <w:rsid w:val="3E4CFDE0"/>
    <w:rsid w:val="3E8A0B7F"/>
    <w:rsid w:val="3EA3EE8B"/>
    <w:rsid w:val="3ED717F8"/>
    <w:rsid w:val="3F110702"/>
    <w:rsid w:val="3F3FF442"/>
    <w:rsid w:val="3F4E3147"/>
    <w:rsid w:val="3F50218E"/>
    <w:rsid w:val="3F7C382D"/>
    <w:rsid w:val="3F7D2E1F"/>
    <w:rsid w:val="3F7EE387"/>
    <w:rsid w:val="3F7FA01F"/>
    <w:rsid w:val="3FBB4207"/>
    <w:rsid w:val="3FBF7A70"/>
    <w:rsid w:val="3FF9B65E"/>
    <w:rsid w:val="4074ABAE"/>
    <w:rsid w:val="40A0C432"/>
    <w:rsid w:val="40B8A248"/>
    <w:rsid w:val="40E3DBF5"/>
    <w:rsid w:val="40EE8CC0"/>
    <w:rsid w:val="41199E34"/>
    <w:rsid w:val="4138D473"/>
    <w:rsid w:val="41CB20AD"/>
    <w:rsid w:val="420A5DE3"/>
    <w:rsid w:val="427C20EB"/>
    <w:rsid w:val="429905C7"/>
    <w:rsid w:val="42B50205"/>
    <w:rsid w:val="434ED533"/>
    <w:rsid w:val="43525384"/>
    <w:rsid w:val="436206C9"/>
    <w:rsid w:val="436C62A1"/>
    <w:rsid w:val="43AFFF16"/>
    <w:rsid w:val="43F4FFB9"/>
    <w:rsid w:val="440D2243"/>
    <w:rsid w:val="4439DDFC"/>
    <w:rsid w:val="449253B4"/>
    <w:rsid w:val="44E37FF4"/>
    <w:rsid w:val="456B149A"/>
    <w:rsid w:val="4574F75A"/>
    <w:rsid w:val="45A16EC1"/>
    <w:rsid w:val="45C258BE"/>
    <w:rsid w:val="45D38FDA"/>
    <w:rsid w:val="45EAA6F5"/>
    <w:rsid w:val="45FAF2E9"/>
    <w:rsid w:val="468A76BB"/>
    <w:rsid w:val="469C1C9E"/>
    <w:rsid w:val="46C9D5E8"/>
    <w:rsid w:val="46DF7A84"/>
    <w:rsid w:val="4709718D"/>
    <w:rsid w:val="472D0B1B"/>
    <w:rsid w:val="474EED7C"/>
    <w:rsid w:val="475A779E"/>
    <w:rsid w:val="47B38243"/>
    <w:rsid w:val="47C7D90B"/>
    <w:rsid w:val="48140B4E"/>
    <w:rsid w:val="48143FD1"/>
    <w:rsid w:val="481BBE66"/>
    <w:rsid w:val="4847C009"/>
    <w:rsid w:val="487819A5"/>
    <w:rsid w:val="48839A56"/>
    <w:rsid w:val="48F2A0C0"/>
    <w:rsid w:val="49349B26"/>
    <w:rsid w:val="4938CB4C"/>
    <w:rsid w:val="4941F361"/>
    <w:rsid w:val="49BB0F42"/>
    <w:rsid w:val="49DF6E88"/>
    <w:rsid w:val="49E1D30D"/>
    <w:rsid w:val="49E84A68"/>
    <w:rsid w:val="49ED8FDA"/>
    <w:rsid w:val="4A19EF58"/>
    <w:rsid w:val="4A20CEC7"/>
    <w:rsid w:val="4AA5AA69"/>
    <w:rsid w:val="4AC923A9"/>
    <w:rsid w:val="4B8F2C54"/>
    <w:rsid w:val="4BD265D0"/>
    <w:rsid w:val="4C792801"/>
    <w:rsid w:val="4C7A6F1B"/>
    <w:rsid w:val="4C93D2B0"/>
    <w:rsid w:val="4C9CBFBC"/>
    <w:rsid w:val="4C9CF954"/>
    <w:rsid w:val="4CB1CA23"/>
    <w:rsid w:val="4CD772EB"/>
    <w:rsid w:val="4CE88ED7"/>
    <w:rsid w:val="4CF8E738"/>
    <w:rsid w:val="4D09DD6F"/>
    <w:rsid w:val="4D1F4478"/>
    <w:rsid w:val="4D227C8F"/>
    <w:rsid w:val="4D2D3CAF"/>
    <w:rsid w:val="4D5A0E9D"/>
    <w:rsid w:val="4D67AF1B"/>
    <w:rsid w:val="4D686D12"/>
    <w:rsid w:val="4D751F78"/>
    <w:rsid w:val="4D9C178C"/>
    <w:rsid w:val="4DE0E93F"/>
    <w:rsid w:val="4E0EE286"/>
    <w:rsid w:val="4E0F27E6"/>
    <w:rsid w:val="4E139942"/>
    <w:rsid w:val="4E2866C8"/>
    <w:rsid w:val="4E46E1AE"/>
    <w:rsid w:val="4EB36362"/>
    <w:rsid w:val="4F6045FE"/>
    <w:rsid w:val="4F7662AB"/>
    <w:rsid w:val="4FA144EA"/>
    <w:rsid w:val="4FE00BDF"/>
    <w:rsid w:val="50636113"/>
    <w:rsid w:val="5065D575"/>
    <w:rsid w:val="509F3718"/>
    <w:rsid w:val="50C30913"/>
    <w:rsid w:val="50D4A261"/>
    <w:rsid w:val="517FDF46"/>
    <w:rsid w:val="51939E9A"/>
    <w:rsid w:val="51B61561"/>
    <w:rsid w:val="51F2CCA3"/>
    <w:rsid w:val="52443E0B"/>
    <w:rsid w:val="529FAD19"/>
    <w:rsid w:val="52AE5D72"/>
    <w:rsid w:val="52D70FCD"/>
    <w:rsid w:val="53097AEA"/>
    <w:rsid w:val="5309F57E"/>
    <w:rsid w:val="531E045F"/>
    <w:rsid w:val="535FA22E"/>
    <w:rsid w:val="5387AEF6"/>
    <w:rsid w:val="53BB2A2D"/>
    <w:rsid w:val="53C23059"/>
    <w:rsid w:val="53DFD7BE"/>
    <w:rsid w:val="54336E9A"/>
    <w:rsid w:val="544191D7"/>
    <w:rsid w:val="5463B7BA"/>
    <w:rsid w:val="548426CA"/>
    <w:rsid w:val="54913C74"/>
    <w:rsid w:val="549B98F7"/>
    <w:rsid w:val="54BA3E62"/>
    <w:rsid w:val="54CFB3EB"/>
    <w:rsid w:val="54EDCED8"/>
    <w:rsid w:val="55190FAD"/>
    <w:rsid w:val="551CCB93"/>
    <w:rsid w:val="5534E365"/>
    <w:rsid w:val="55975ABA"/>
    <w:rsid w:val="55BB337F"/>
    <w:rsid w:val="565AA4E5"/>
    <w:rsid w:val="5682AF6F"/>
    <w:rsid w:val="5695B2CD"/>
    <w:rsid w:val="5719E42E"/>
    <w:rsid w:val="571E10E1"/>
    <w:rsid w:val="5749C63B"/>
    <w:rsid w:val="5753DF96"/>
    <w:rsid w:val="5757EAFC"/>
    <w:rsid w:val="575AC907"/>
    <w:rsid w:val="5782DE1A"/>
    <w:rsid w:val="57D29E24"/>
    <w:rsid w:val="57F3DEB2"/>
    <w:rsid w:val="57FB3969"/>
    <w:rsid w:val="5809AC3C"/>
    <w:rsid w:val="5809F55C"/>
    <w:rsid w:val="58281D48"/>
    <w:rsid w:val="58A401EB"/>
    <w:rsid w:val="58E2A400"/>
    <w:rsid w:val="58FF3393"/>
    <w:rsid w:val="5941DFD5"/>
    <w:rsid w:val="5996004E"/>
    <w:rsid w:val="59D16BE1"/>
    <w:rsid w:val="5A237F70"/>
    <w:rsid w:val="5A31A2CE"/>
    <w:rsid w:val="5A55C2A3"/>
    <w:rsid w:val="5A5AD5FE"/>
    <w:rsid w:val="5A94EE2F"/>
    <w:rsid w:val="5A94F3A0"/>
    <w:rsid w:val="5AA02240"/>
    <w:rsid w:val="5AE44DAD"/>
    <w:rsid w:val="5B9B7AD3"/>
    <w:rsid w:val="5C2BFE2F"/>
    <w:rsid w:val="5C40B857"/>
    <w:rsid w:val="5D495B9F"/>
    <w:rsid w:val="5DFAF9AB"/>
    <w:rsid w:val="5E086050"/>
    <w:rsid w:val="5E4B4059"/>
    <w:rsid w:val="5E5D1060"/>
    <w:rsid w:val="5E6587DA"/>
    <w:rsid w:val="5E7F307B"/>
    <w:rsid w:val="5E857886"/>
    <w:rsid w:val="5E9B510C"/>
    <w:rsid w:val="5EBAC835"/>
    <w:rsid w:val="5EE5BD86"/>
    <w:rsid w:val="5F148F29"/>
    <w:rsid w:val="5F8D7766"/>
    <w:rsid w:val="5FCCC5C6"/>
    <w:rsid w:val="5FDD1682"/>
    <w:rsid w:val="60334ECC"/>
    <w:rsid w:val="604670D0"/>
    <w:rsid w:val="60A2F22D"/>
    <w:rsid w:val="60CFD61F"/>
    <w:rsid w:val="6131D9D9"/>
    <w:rsid w:val="6176180D"/>
    <w:rsid w:val="61AB21D8"/>
    <w:rsid w:val="61B2A84F"/>
    <w:rsid w:val="61BF4B3F"/>
    <w:rsid w:val="61E4E7AE"/>
    <w:rsid w:val="6210274A"/>
    <w:rsid w:val="6222857E"/>
    <w:rsid w:val="62A5D39D"/>
    <w:rsid w:val="62CB930C"/>
    <w:rsid w:val="62D89B88"/>
    <w:rsid w:val="62E73231"/>
    <w:rsid w:val="6319AB30"/>
    <w:rsid w:val="6327EAD6"/>
    <w:rsid w:val="6332CD82"/>
    <w:rsid w:val="637714CC"/>
    <w:rsid w:val="63818417"/>
    <w:rsid w:val="63821CEC"/>
    <w:rsid w:val="64037D3E"/>
    <w:rsid w:val="646017DC"/>
    <w:rsid w:val="648BF12B"/>
    <w:rsid w:val="649B82EF"/>
    <w:rsid w:val="64A18D9D"/>
    <w:rsid w:val="64E4A82A"/>
    <w:rsid w:val="64E5C9C7"/>
    <w:rsid w:val="65B1B6D0"/>
    <w:rsid w:val="65E488D3"/>
    <w:rsid w:val="65EF0B8A"/>
    <w:rsid w:val="66AE7E44"/>
    <w:rsid w:val="66CA37EC"/>
    <w:rsid w:val="676260B1"/>
    <w:rsid w:val="6763DD65"/>
    <w:rsid w:val="67B21A7F"/>
    <w:rsid w:val="67CA67AA"/>
    <w:rsid w:val="68003AA3"/>
    <w:rsid w:val="68A3793D"/>
    <w:rsid w:val="691E73FD"/>
    <w:rsid w:val="6954EF16"/>
    <w:rsid w:val="69955499"/>
    <w:rsid w:val="69C1EF6F"/>
    <w:rsid w:val="69E63FFB"/>
    <w:rsid w:val="6A341218"/>
    <w:rsid w:val="6A7CA7C4"/>
    <w:rsid w:val="6A836CAB"/>
    <w:rsid w:val="6AA7940C"/>
    <w:rsid w:val="6B52CBD6"/>
    <w:rsid w:val="6B83DD6A"/>
    <w:rsid w:val="6BA9BA47"/>
    <w:rsid w:val="6BF46607"/>
    <w:rsid w:val="6C0CAC74"/>
    <w:rsid w:val="6C0EDE6F"/>
    <w:rsid w:val="6C28AD7E"/>
    <w:rsid w:val="6C907295"/>
    <w:rsid w:val="6CA8EF03"/>
    <w:rsid w:val="6CACC236"/>
    <w:rsid w:val="6D20AD96"/>
    <w:rsid w:val="6D8D1BDF"/>
    <w:rsid w:val="6DBBAC3D"/>
    <w:rsid w:val="6E2A6540"/>
    <w:rsid w:val="6E2E2565"/>
    <w:rsid w:val="6E4ACDAD"/>
    <w:rsid w:val="6E7DF929"/>
    <w:rsid w:val="6E859678"/>
    <w:rsid w:val="6E90AEC6"/>
    <w:rsid w:val="6ED1C603"/>
    <w:rsid w:val="6EE82ADA"/>
    <w:rsid w:val="6F311FD2"/>
    <w:rsid w:val="6F649F48"/>
    <w:rsid w:val="6FB71FD1"/>
    <w:rsid w:val="6FD2D56D"/>
    <w:rsid w:val="6FD9C569"/>
    <w:rsid w:val="6FDDA072"/>
    <w:rsid w:val="6FEF1F2D"/>
    <w:rsid w:val="6FFF1115"/>
    <w:rsid w:val="70548E15"/>
    <w:rsid w:val="70589118"/>
    <w:rsid w:val="707BE7A9"/>
    <w:rsid w:val="70B3229D"/>
    <w:rsid w:val="70D7F3E6"/>
    <w:rsid w:val="710DB72C"/>
    <w:rsid w:val="711ECAFA"/>
    <w:rsid w:val="718DD292"/>
    <w:rsid w:val="71AF971E"/>
    <w:rsid w:val="71CB3705"/>
    <w:rsid w:val="71F68B0B"/>
    <w:rsid w:val="71FDB159"/>
    <w:rsid w:val="7211F6B8"/>
    <w:rsid w:val="72500B99"/>
    <w:rsid w:val="7262BD5C"/>
    <w:rsid w:val="72C6620F"/>
    <w:rsid w:val="74091014"/>
    <w:rsid w:val="742D252C"/>
    <w:rsid w:val="742EB609"/>
    <w:rsid w:val="743A2E82"/>
    <w:rsid w:val="744726DB"/>
    <w:rsid w:val="74537855"/>
    <w:rsid w:val="74616ECF"/>
    <w:rsid w:val="74A0E113"/>
    <w:rsid w:val="74AD368C"/>
    <w:rsid w:val="751D8F59"/>
    <w:rsid w:val="7528495F"/>
    <w:rsid w:val="7531E2EC"/>
    <w:rsid w:val="75367B0D"/>
    <w:rsid w:val="7566C75D"/>
    <w:rsid w:val="75EBADA0"/>
    <w:rsid w:val="760D46D0"/>
    <w:rsid w:val="761D1A43"/>
    <w:rsid w:val="76281569"/>
    <w:rsid w:val="76481512"/>
    <w:rsid w:val="764AA803"/>
    <w:rsid w:val="7670C023"/>
    <w:rsid w:val="7670E9A9"/>
    <w:rsid w:val="7708B306"/>
    <w:rsid w:val="770B143D"/>
    <w:rsid w:val="77360CF5"/>
    <w:rsid w:val="7745B3A7"/>
    <w:rsid w:val="777F0C90"/>
    <w:rsid w:val="77A97FB5"/>
    <w:rsid w:val="77AF56BC"/>
    <w:rsid w:val="780AB371"/>
    <w:rsid w:val="781C4E88"/>
    <w:rsid w:val="78F17F27"/>
    <w:rsid w:val="792ADC5E"/>
    <w:rsid w:val="7939689B"/>
    <w:rsid w:val="793D180C"/>
    <w:rsid w:val="793D2626"/>
    <w:rsid w:val="79464A21"/>
    <w:rsid w:val="7993FA24"/>
    <w:rsid w:val="79D84AB7"/>
    <w:rsid w:val="79F69F8F"/>
    <w:rsid w:val="7A17FBDB"/>
    <w:rsid w:val="7A3AD3FF"/>
    <w:rsid w:val="7A818288"/>
    <w:rsid w:val="7A923E84"/>
    <w:rsid w:val="7A98EE0C"/>
    <w:rsid w:val="7AA06A00"/>
    <w:rsid w:val="7AD259DD"/>
    <w:rsid w:val="7B337AAB"/>
    <w:rsid w:val="7B68857C"/>
    <w:rsid w:val="7B8A5981"/>
    <w:rsid w:val="7BC2547D"/>
    <w:rsid w:val="7C2150C7"/>
    <w:rsid w:val="7C260197"/>
    <w:rsid w:val="7C5ACB21"/>
    <w:rsid w:val="7C6D3090"/>
    <w:rsid w:val="7C99B83A"/>
    <w:rsid w:val="7CC3D771"/>
    <w:rsid w:val="7CFDA02D"/>
    <w:rsid w:val="7D17F453"/>
    <w:rsid w:val="7D99932B"/>
    <w:rsid w:val="7DA19C9F"/>
    <w:rsid w:val="7DF7091E"/>
    <w:rsid w:val="7E4A769E"/>
    <w:rsid w:val="7E563D66"/>
    <w:rsid w:val="7E6E6D60"/>
    <w:rsid w:val="7E8552B3"/>
    <w:rsid w:val="7E99D42D"/>
    <w:rsid w:val="7F4C9904"/>
    <w:rsid w:val="7FA05E89"/>
    <w:rsid w:val="7FB945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85B802"/>
  <w15:docId w15:val="{E35474DE-33C3-439E-90C3-9F190E1F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qFormat="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A513E"/>
    <w:pPr>
      <w:suppressAutoHyphens/>
    </w:pPr>
    <w:rPr>
      <w:rFonts w:ascii="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
    <w:name w:val="Nagłówek #2_"/>
    <w:link w:val="Nagwek20"/>
    <w:rsid w:val="00BC53BA"/>
    <w:rPr>
      <w:rFonts w:ascii="Times New Roman" w:eastAsia="Times New Roman" w:hAnsi="Times New Roman"/>
      <w:b/>
      <w:bCs/>
      <w:shd w:val="clear" w:color="auto" w:fill="FFFFFF"/>
    </w:rPr>
  </w:style>
  <w:style w:type="paragraph" w:customStyle="1" w:styleId="Nagwek20">
    <w:name w:val="Nagłówek #2"/>
    <w:basedOn w:val="Normalny"/>
    <w:link w:val="Nagwek2"/>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 w:type="character" w:styleId="UyteHipercze">
    <w:name w:val="FollowedHyperlink"/>
    <w:basedOn w:val="Domylnaczcionkaakapitu"/>
    <w:semiHidden/>
    <w:unhideWhenUsed/>
    <w:rsid w:val="002453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500513517">
          <w:marLeft w:val="0"/>
          <w:marRight w:val="0"/>
          <w:marTop w:val="0"/>
          <w:marBottom w:val="0"/>
          <w:divBdr>
            <w:top w:val="none" w:sz="0" w:space="0" w:color="auto"/>
            <w:left w:val="none" w:sz="0" w:space="0" w:color="auto"/>
            <w:bottom w:val="none" w:sz="0" w:space="0" w:color="auto"/>
            <w:right w:val="none" w:sz="0" w:space="0" w:color="auto"/>
          </w:divBdr>
        </w:div>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sChild>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23935185">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2003195537">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web/infrastruktura/wr-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8B47DD-F3B0-46AE-9C46-BB8A6F005EFB}">
  <ds:schemaRefs>
    <ds:schemaRef ds:uri="http://schemas.openxmlformats.org/officeDocument/2006/bibliography"/>
  </ds:schemaRefs>
</ds:datastoreItem>
</file>

<file path=customXml/itemProps2.xml><?xml version="1.0" encoding="utf-8"?>
<ds:datastoreItem xmlns:ds="http://schemas.openxmlformats.org/officeDocument/2006/customXml" ds:itemID="{E80A897F-3EFC-4172-82BC-563A03151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6E1ADB-3E4C-4947-BED7-A1CFB852A661}">
  <ds:schemaRefs>
    <ds:schemaRef ds:uri="http://schemas.microsoft.com/sharepoint/v3/contenttype/forms"/>
  </ds:schemaRefs>
</ds:datastoreItem>
</file>

<file path=customXml/itemProps4.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5815</Words>
  <Characters>34894</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40628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Markowska Anna</cp:lastModifiedBy>
  <cp:revision>12</cp:revision>
  <cp:lastPrinted>2017-08-21T10:14:00Z</cp:lastPrinted>
  <dcterms:created xsi:type="dcterms:W3CDTF">2022-01-28T09:29:00Z</dcterms:created>
  <dcterms:modified xsi:type="dcterms:W3CDTF">2022-02-25T09:05:00Z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